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color w:val="000000"/>
          <w:sz w:val="72"/>
          <w:szCs w:val="72"/>
        </w:rPr>
      </w:pPr>
      <w:bookmarkStart w:id="0" w:name="_Toc15378441"/>
      <w:bookmarkStart w:id="1" w:name="_Toc15396597"/>
      <w:bookmarkStart w:id="2" w:name="_Toc15377425"/>
      <w:bookmarkStart w:id="3" w:name="_Toc15377193"/>
      <w:bookmarkStart w:id="4" w:name="_Toc15396475"/>
    </w:p>
    <w:p>
      <w:pPr>
        <w:adjustRightInd w:val="0"/>
        <w:snapToGrid w:val="0"/>
        <w:spacing w:line="360" w:lineRule="auto"/>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5" w:name="_Toc4522"/>
      <w:bookmarkStart w:id="6" w:name="_Toc13828"/>
      <w:bookmarkStart w:id="7" w:name="_Toc9360"/>
      <w:bookmarkStart w:id="8" w:name="_Toc13991"/>
      <w:bookmarkStart w:id="9" w:name="_Toc32676"/>
      <w:r>
        <w:rPr>
          <w:rFonts w:ascii="黑体" w:hAnsi="黑体" w:eastAsia="黑体"/>
          <w:color w:val="000000"/>
          <w:sz w:val="72"/>
          <w:szCs w:val="72"/>
        </w:rPr>
        <w:t>20</w:t>
      </w:r>
      <w:r>
        <w:rPr>
          <w:rFonts w:hint="eastAsia" w:ascii="黑体" w:hAnsi="黑体" w:eastAsia="黑体"/>
          <w:color w:val="000000"/>
          <w:sz w:val="72"/>
          <w:szCs w:val="72"/>
        </w:rPr>
        <w:t>18</w:t>
      </w:r>
      <w:r>
        <w:rPr>
          <w:rFonts w:hint="eastAsia" w:ascii="方正小标宋简体" w:hAnsi="宋体" w:eastAsia="方正小标宋简体"/>
          <w:color w:val="000000"/>
          <w:sz w:val="72"/>
          <w:szCs w:val="72"/>
        </w:rPr>
        <w:t>年度</w:t>
      </w:r>
      <w:bookmarkEnd w:id="0"/>
      <w:bookmarkEnd w:id="1"/>
      <w:bookmarkEnd w:id="2"/>
      <w:bookmarkEnd w:id="3"/>
      <w:bookmarkEnd w:id="4"/>
      <w:bookmarkEnd w:id="5"/>
      <w:bookmarkEnd w:id="6"/>
      <w:bookmarkEnd w:id="7"/>
      <w:bookmarkEnd w:id="8"/>
      <w:bookmarkEnd w:id="9"/>
    </w:p>
    <w:p>
      <w:pPr>
        <w:adjustRightInd w:val="0"/>
        <w:snapToGrid w:val="0"/>
        <w:spacing w:line="360" w:lineRule="auto"/>
        <w:jc w:val="center"/>
        <w:outlineLvl w:val="0"/>
        <w:rPr>
          <w:rFonts w:ascii="方正小标宋简体" w:hAnsi="宋体" w:eastAsia="方正小标宋简体"/>
          <w:color w:val="000000"/>
          <w:sz w:val="72"/>
          <w:szCs w:val="72"/>
        </w:rPr>
      </w:pPr>
      <w:bookmarkStart w:id="10" w:name="_Toc15377194"/>
      <w:bookmarkStart w:id="11" w:name="_Toc15306268"/>
      <w:bookmarkStart w:id="12" w:name="_Toc15396476"/>
      <w:bookmarkStart w:id="13" w:name="_Toc15396598"/>
      <w:bookmarkStart w:id="14" w:name="_Toc15378442"/>
      <w:bookmarkStart w:id="15" w:name="_Toc15377426"/>
      <w:bookmarkStart w:id="16" w:name="_Toc21982"/>
      <w:bookmarkStart w:id="17" w:name="_Toc5499"/>
      <w:bookmarkStart w:id="18" w:name="_Toc13007"/>
      <w:bookmarkStart w:id="19" w:name="_Toc31439"/>
      <w:bookmarkStart w:id="20" w:name="_Toc13387"/>
      <w:r>
        <w:rPr>
          <w:rFonts w:hint="eastAsia" w:ascii="方正小标宋简体" w:hAnsi="宋体" w:eastAsia="方正小标宋简体"/>
          <w:color w:val="000000"/>
          <w:sz w:val="72"/>
          <w:szCs w:val="72"/>
        </w:rPr>
        <w:t>遂宁市中心医院部门决算</w:t>
      </w:r>
      <w:bookmarkEnd w:id="10"/>
      <w:bookmarkEnd w:id="11"/>
      <w:bookmarkEnd w:id="12"/>
      <w:bookmarkEnd w:id="13"/>
      <w:bookmarkEnd w:id="14"/>
      <w:bookmarkEnd w:id="15"/>
      <w:r>
        <w:rPr>
          <w:rFonts w:hint="eastAsia" w:ascii="方正小标宋简体" w:hAnsi="宋体" w:eastAsia="方正小标宋简体"/>
          <w:color w:val="000000"/>
          <w:sz w:val="72"/>
          <w:szCs w:val="72"/>
        </w:rPr>
        <w:t>报告</w:t>
      </w:r>
      <w:bookmarkEnd w:id="16"/>
      <w:bookmarkEnd w:id="17"/>
      <w:bookmarkEnd w:id="18"/>
      <w:bookmarkEnd w:id="19"/>
      <w:bookmarkEnd w:id="20"/>
    </w:p>
    <w:p>
      <w:pPr>
        <w:adjustRightInd w:val="0"/>
        <w:snapToGrid w:val="0"/>
        <w:spacing w:line="360" w:lineRule="auto"/>
        <w:jc w:val="center"/>
        <w:rPr>
          <w:rFonts w:ascii="方正小标宋简体" w:hAnsi="宋体" w:eastAsia="方正小标宋简体"/>
          <w:color w:val="000000"/>
          <w:sz w:val="72"/>
          <w:szCs w:val="72"/>
        </w:rPr>
      </w:pPr>
    </w:p>
    <w:p>
      <w:pPr>
        <w:adjustRightInd w:val="0"/>
        <w:snapToGrid w:val="0"/>
        <w:spacing w:line="360" w:lineRule="auto"/>
        <w:jc w:val="center"/>
        <w:rPr>
          <w:rFonts w:ascii="方正小标宋简体" w:hAnsi="宋体" w:eastAsia="方正小标宋简体"/>
          <w:color w:val="000000"/>
          <w:sz w:val="72"/>
          <w:szCs w:val="72"/>
        </w:rPr>
      </w:pPr>
    </w:p>
    <w:p>
      <w:pPr>
        <w:adjustRightInd w:val="0"/>
        <w:snapToGrid w:val="0"/>
        <w:spacing w:line="360" w:lineRule="auto"/>
        <w:rPr>
          <w:rFonts w:ascii="方正小标宋简体" w:hAnsi="宋体" w:eastAsia="方正小标宋简体"/>
          <w:color w:val="000000"/>
          <w:sz w:val="72"/>
          <w:szCs w:val="72"/>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sectPr>
          <w:pgSz w:w="11906" w:h="16838"/>
          <w:pgMar w:top="1440" w:right="1800" w:bottom="1440" w:left="1800" w:header="851" w:footer="992" w:gutter="0"/>
          <w:pgNumType w:start="1"/>
          <w:cols w:space="425" w:num="1"/>
          <w:docGrid w:type="lines" w:linePitch="312" w:charSpace="0"/>
        </w:sectPr>
      </w:pPr>
    </w:p>
    <w:p>
      <w:pPr>
        <w:widowControl/>
        <w:jc w:val="center"/>
        <w:rPr>
          <w:rFonts w:hint="eastAsia" w:ascii="黑体" w:hAnsi="黑体" w:eastAsia="黑体"/>
          <w:color w:val="000000"/>
          <w:sz w:val="48"/>
          <w:szCs w:val="48"/>
        </w:rPr>
      </w:pPr>
    </w:p>
    <w:p>
      <w:pPr>
        <w:pStyle w:val="2"/>
        <w:rPr>
          <w:rFonts w:hint="eastAsia"/>
        </w:rPr>
      </w:pPr>
    </w:p>
    <w:p>
      <w:pPr>
        <w:widowControl/>
        <w:jc w:val="center"/>
        <w:rPr>
          <w:rFonts w:ascii="黑体" w:hAnsi="黑体" w:eastAsia="黑体"/>
          <w:sz w:val="28"/>
          <w:szCs w:val="28"/>
        </w:rPr>
      </w:pPr>
      <w:r>
        <w:rPr>
          <w:rFonts w:hint="eastAsia" w:ascii="黑体" w:hAnsi="黑体" w:eastAsia="黑体"/>
          <w:color w:val="000000"/>
          <w:sz w:val="48"/>
          <w:szCs w:val="48"/>
        </w:rPr>
        <w:t>目录</w:t>
      </w:r>
    </w:p>
    <w:p/>
    <w:sdt>
      <w:sdtPr>
        <w:rPr>
          <w:rFonts w:ascii="宋体" w:hAnsi="宋体" w:eastAsia="宋体"/>
        </w:rPr>
        <w:id w:val="147475979"/>
        <w:docPartObj>
          <w:docPartGallery w:val="Table of Contents"/>
          <w:docPartUnique/>
        </w:docPartObj>
      </w:sdtPr>
      <w:sdtEndPr>
        <w:rPr>
          <w:rFonts w:ascii="宋体" w:hAnsi="宋体" w:eastAsia="宋体"/>
        </w:rPr>
      </w:sdtEndPr>
      <w:sdtContent>
        <w:p>
          <w:pPr>
            <w:jc w:val="center"/>
          </w:pPr>
          <w:r>
            <w:fldChar w:fldCharType="begin"/>
          </w:r>
          <w:r>
            <w:instrText xml:space="preserve">TOC \o "1-3" \h \u </w:instrText>
          </w:r>
          <w:r>
            <w:fldChar w:fldCharType="separate"/>
          </w:r>
        </w:p>
        <w:p>
          <w:pPr>
            <w:pStyle w:val="21"/>
            <w:tabs>
              <w:tab w:val="right" w:leader="dot" w:pos="8306"/>
            </w:tabs>
          </w:pPr>
          <w:r>
            <w:fldChar w:fldCharType="begin"/>
          </w:r>
          <w:r>
            <w:instrText xml:space="preserve"> HYPERLINK \l "_Toc23753" </w:instrText>
          </w:r>
          <w:r>
            <w:fldChar w:fldCharType="separate"/>
          </w:r>
          <w:r>
            <w:rPr>
              <w:rFonts w:hint="eastAsia" w:ascii="黑体" w:hAnsi="黑体" w:eastAsia="黑体"/>
            </w:rPr>
            <w:t>第一部分部门概况</w:t>
          </w:r>
          <w:r>
            <w:tab/>
          </w:r>
          <w:r>
            <w:fldChar w:fldCharType="end"/>
          </w:r>
        </w:p>
        <w:p>
          <w:pPr>
            <w:pStyle w:val="22"/>
            <w:tabs>
              <w:tab w:val="right" w:leader="dot" w:pos="8306"/>
            </w:tabs>
            <w:ind w:left="420"/>
          </w:pPr>
          <w:r>
            <w:fldChar w:fldCharType="begin"/>
          </w:r>
          <w:r>
            <w:instrText xml:space="preserve"> HYPERLINK \l "_Toc30688" </w:instrText>
          </w:r>
          <w:r>
            <w:fldChar w:fldCharType="separate"/>
          </w:r>
          <w:r>
            <w:rPr>
              <w:rFonts w:hint="eastAsia" w:ascii="黑体" w:hAnsi="黑体" w:eastAsia="黑体"/>
            </w:rPr>
            <w:t>一、基本职能及主要工作</w:t>
          </w:r>
          <w:r>
            <w:tab/>
          </w:r>
          <w:r>
            <w:fldChar w:fldCharType="end"/>
          </w:r>
        </w:p>
        <w:p>
          <w:pPr>
            <w:pStyle w:val="31"/>
            <w:tabs>
              <w:tab w:val="right" w:leader="dot" w:pos="8306"/>
            </w:tabs>
            <w:ind w:left="840"/>
            <w:rPr>
              <w:rFonts w:ascii="仿宋" w:hAnsi="仿宋" w:eastAsia="仿宋" w:cs="仿宋"/>
            </w:rPr>
          </w:pPr>
          <w:r>
            <w:fldChar w:fldCharType="begin"/>
          </w:r>
          <w:r>
            <w:instrText xml:space="preserve"> HYPERLINK \l "_Toc22468" </w:instrText>
          </w:r>
          <w:r>
            <w:fldChar w:fldCharType="separate"/>
          </w:r>
          <w:r>
            <w:rPr>
              <w:rFonts w:hint="eastAsia" w:ascii="仿宋" w:hAnsi="仿宋" w:eastAsia="仿宋" w:cs="仿宋"/>
              <w:szCs w:val="32"/>
            </w:rPr>
            <w:t>（一）主要职能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_Toc22468 </w:instrText>
          </w:r>
          <w:r>
            <w:rPr>
              <w:rFonts w:hint="eastAsia" w:ascii="仿宋" w:hAnsi="仿宋" w:eastAsia="仿宋" w:cs="仿宋"/>
            </w:rPr>
            <w:fldChar w:fldCharType="separate"/>
          </w:r>
          <w:r>
            <w:rPr>
              <w:rFonts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31"/>
            <w:tabs>
              <w:tab w:val="right" w:leader="dot" w:pos="8306"/>
            </w:tabs>
            <w:ind w:left="840"/>
          </w:pPr>
          <w:r>
            <w:fldChar w:fldCharType="begin"/>
          </w:r>
          <w:r>
            <w:instrText xml:space="preserve"> HYPERLINK \l "_Toc18656" </w:instrText>
          </w:r>
          <w:r>
            <w:fldChar w:fldCharType="separate"/>
          </w:r>
          <w:r>
            <w:rPr>
              <w:rFonts w:hint="eastAsia" w:ascii="仿宋" w:hAnsi="仿宋" w:eastAsia="仿宋" w:cs="仿宋"/>
              <w:szCs w:val="32"/>
            </w:rPr>
            <w:t>（二）2018年重点工作完成情况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_Toc18656 </w:instrText>
          </w:r>
          <w:r>
            <w:rPr>
              <w:rFonts w:hint="eastAsia" w:ascii="仿宋" w:hAnsi="仿宋" w:eastAsia="仿宋" w:cs="仿宋"/>
            </w:rPr>
            <w:fldChar w:fldCharType="separate"/>
          </w:r>
          <w:r>
            <w:rPr>
              <w:rFonts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22"/>
            <w:tabs>
              <w:tab w:val="right" w:leader="dot" w:pos="8306"/>
            </w:tabs>
            <w:ind w:left="420"/>
          </w:pPr>
          <w:r>
            <w:fldChar w:fldCharType="begin"/>
          </w:r>
          <w:r>
            <w:instrText xml:space="preserve"> HYPERLINK \l "_Toc12084" </w:instrText>
          </w:r>
          <w:r>
            <w:fldChar w:fldCharType="separate"/>
          </w:r>
          <w:r>
            <w:rPr>
              <w:rFonts w:hint="eastAsia" w:ascii="黑体" w:eastAsia="黑体"/>
            </w:rPr>
            <w:t>二、</w:t>
          </w:r>
          <w:r>
            <w:rPr>
              <w:rFonts w:hint="eastAsia" w:ascii="黑体" w:hAnsi="黑体" w:eastAsia="黑体"/>
            </w:rPr>
            <w:t>机构设置</w:t>
          </w:r>
          <w:r>
            <w:tab/>
          </w:r>
          <w:r>
            <w:rPr>
              <w:rFonts w:hint="eastAsia"/>
            </w:rPr>
            <w:t>14</w:t>
          </w:r>
          <w:r>
            <w:rPr>
              <w:rFonts w:hint="eastAsia"/>
            </w:rPr>
            <w:fldChar w:fldCharType="end"/>
          </w:r>
        </w:p>
        <w:p>
          <w:pPr>
            <w:pStyle w:val="21"/>
            <w:tabs>
              <w:tab w:val="right" w:leader="dot" w:pos="8306"/>
            </w:tabs>
          </w:pPr>
          <w:r>
            <w:fldChar w:fldCharType="begin"/>
          </w:r>
          <w:r>
            <w:instrText xml:space="preserve"> HYPERLINK \l "_Toc26682" </w:instrText>
          </w:r>
          <w:r>
            <w:fldChar w:fldCharType="separate"/>
          </w:r>
          <w:r>
            <w:rPr>
              <w:rFonts w:hint="eastAsia" w:ascii="黑体" w:hAnsi="黑体" w:eastAsia="黑体"/>
            </w:rPr>
            <w:t>第二部分</w:t>
          </w:r>
          <w:r>
            <w:rPr>
              <w:rFonts w:ascii="黑体" w:hAnsi="黑体" w:eastAsia="黑体"/>
            </w:rPr>
            <w:t>20</w:t>
          </w:r>
          <w:r>
            <w:rPr>
              <w:rFonts w:hint="eastAsia" w:ascii="黑体" w:hAnsi="黑体" w:eastAsia="黑体"/>
            </w:rPr>
            <w:t>18年度部门决算情况说明</w:t>
          </w:r>
          <w:r>
            <w:tab/>
          </w:r>
          <w:r>
            <w:rPr>
              <w:rFonts w:hint="eastAsia"/>
            </w:rPr>
            <w:t>15</w:t>
          </w:r>
          <w:r>
            <w:rPr>
              <w:rFonts w:hint="eastAsia"/>
            </w:rPr>
            <w:fldChar w:fldCharType="end"/>
          </w:r>
        </w:p>
        <w:p>
          <w:pPr>
            <w:pStyle w:val="22"/>
            <w:tabs>
              <w:tab w:val="right" w:leader="dot" w:pos="8306"/>
            </w:tabs>
            <w:ind w:left="420"/>
          </w:pPr>
          <w:r>
            <w:fldChar w:fldCharType="begin"/>
          </w:r>
          <w:r>
            <w:instrText xml:space="preserve"> HYPERLINK \l "_Toc21011"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rPr>
            <w:t>15</w:t>
          </w:r>
          <w:r>
            <w:rPr>
              <w:rFonts w:hint="eastAsia"/>
            </w:rPr>
            <w:fldChar w:fldCharType="end"/>
          </w:r>
        </w:p>
        <w:p>
          <w:pPr>
            <w:pStyle w:val="22"/>
            <w:tabs>
              <w:tab w:val="right" w:leader="dot" w:pos="8306"/>
            </w:tabs>
            <w:ind w:left="420"/>
          </w:pPr>
          <w:r>
            <w:fldChar w:fldCharType="begin"/>
          </w:r>
          <w:r>
            <w:instrText xml:space="preserve"> HYPERLINK \l "_Toc2807"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rPr>
            <w:t>15</w:t>
          </w:r>
          <w:r>
            <w:rPr>
              <w:rFonts w:hint="eastAsia"/>
            </w:rPr>
            <w:fldChar w:fldCharType="end"/>
          </w:r>
        </w:p>
        <w:p>
          <w:pPr>
            <w:pStyle w:val="22"/>
            <w:tabs>
              <w:tab w:val="right" w:leader="dot" w:pos="8306"/>
            </w:tabs>
            <w:ind w:left="420"/>
          </w:pPr>
          <w:r>
            <w:fldChar w:fldCharType="begin"/>
          </w:r>
          <w:r>
            <w:instrText xml:space="preserve"> HYPERLINK \l "_Toc3380"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rPr>
            <w:t>16</w:t>
          </w:r>
          <w:r>
            <w:rPr>
              <w:rFonts w:hint="eastAsia"/>
            </w:rPr>
            <w:fldChar w:fldCharType="end"/>
          </w:r>
        </w:p>
        <w:p>
          <w:pPr>
            <w:pStyle w:val="22"/>
            <w:tabs>
              <w:tab w:val="right" w:leader="dot" w:pos="8306"/>
            </w:tabs>
            <w:ind w:left="420"/>
          </w:pPr>
          <w:r>
            <w:fldChar w:fldCharType="begin"/>
          </w:r>
          <w:r>
            <w:instrText xml:space="preserve"> HYPERLINK \l "_Toc6268"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rPr>
            <w:t>16</w:t>
          </w:r>
          <w:r>
            <w:rPr>
              <w:rFonts w:hint="eastAsia"/>
            </w:rPr>
            <w:fldChar w:fldCharType="end"/>
          </w:r>
        </w:p>
        <w:p>
          <w:pPr>
            <w:pStyle w:val="22"/>
            <w:tabs>
              <w:tab w:val="right" w:leader="dot" w:pos="8306"/>
            </w:tabs>
            <w:ind w:left="420"/>
          </w:pPr>
          <w:r>
            <w:fldChar w:fldCharType="begin"/>
          </w:r>
          <w:r>
            <w:instrText xml:space="preserve"> HYPERLINK \l "_Toc31520"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end"/>
          </w:r>
        </w:p>
        <w:p>
          <w:pPr>
            <w:pStyle w:val="31"/>
            <w:tabs>
              <w:tab w:val="right" w:leader="dot" w:pos="8306"/>
            </w:tabs>
            <w:ind w:left="840"/>
          </w:pPr>
          <w:r>
            <w:fldChar w:fldCharType="begin"/>
          </w:r>
          <w:r>
            <w:instrText xml:space="preserve"> HYPERLINK \l "_Toc4799" </w:instrText>
          </w:r>
          <w:r>
            <w:fldChar w:fldCharType="separate"/>
          </w:r>
          <w:r>
            <w:rPr>
              <w:rFonts w:hint="eastAsia" w:ascii="仿宋" w:hAnsi="仿宋" w:eastAsia="仿宋"/>
              <w:szCs w:val="32"/>
            </w:rPr>
            <w:t>（一）一般公共预算财政拨款支出决算总体情况</w:t>
          </w:r>
          <w:r>
            <w:tab/>
          </w:r>
          <w:r>
            <w:fldChar w:fldCharType="end"/>
          </w:r>
        </w:p>
        <w:p>
          <w:pPr>
            <w:pStyle w:val="31"/>
            <w:tabs>
              <w:tab w:val="right" w:leader="dot" w:pos="8306"/>
            </w:tabs>
            <w:ind w:left="840"/>
          </w:pPr>
          <w:r>
            <w:fldChar w:fldCharType="begin"/>
          </w:r>
          <w:r>
            <w:instrText xml:space="preserve"> HYPERLINK \l "_Toc27697" </w:instrText>
          </w:r>
          <w:r>
            <w:fldChar w:fldCharType="separate"/>
          </w:r>
          <w:r>
            <w:rPr>
              <w:rFonts w:hint="eastAsia" w:ascii="仿宋" w:hAnsi="仿宋" w:eastAsia="仿宋"/>
              <w:szCs w:val="32"/>
            </w:rPr>
            <w:t>（二）一般公共预算财政拨款支出决算结构情况</w:t>
          </w:r>
          <w:r>
            <w:tab/>
          </w:r>
          <w:r>
            <w:fldChar w:fldCharType="end"/>
          </w:r>
        </w:p>
        <w:p>
          <w:pPr>
            <w:pStyle w:val="31"/>
            <w:tabs>
              <w:tab w:val="right" w:leader="dot" w:pos="8306"/>
            </w:tabs>
            <w:ind w:left="840"/>
          </w:pPr>
          <w:r>
            <w:fldChar w:fldCharType="begin"/>
          </w:r>
          <w:r>
            <w:instrText xml:space="preserve"> HYPERLINK \l "_Toc8732" </w:instrText>
          </w:r>
          <w:r>
            <w:fldChar w:fldCharType="separate"/>
          </w:r>
          <w:r>
            <w:rPr>
              <w:rFonts w:hint="eastAsia" w:ascii="仿宋" w:hAnsi="仿宋" w:eastAsia="仿宋"/>
              <w:szCs w:val="32"/>
            </w:rPr>
            <w:t>（三）一般公共预算财政拨款支出决算具体情况</w:t>
          </w:r>
          <w:r>
            <w:tab/>
          </w:r>
          <w:r>
            <w:fldChar w:fldCharType="end"/>
          </w:r>
        </w:p>
        <w:p>
          <w:pPr>
            <w:pStyle w:val="22"/>
            <w:tabs>
              <w:tab w:val="right" w:leader="dot" w:pos="8306"/>
            </w:tabs>
            <w:ind w:left="420"/>
          </w:pPr>
          <w:r>
            <w:fldChar w:fldCharType="begin"/>
          </w:r>
          <w:r>
            <w:instrText xml:space="preserve"> HYPERLINK \l "_Toc4099"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end"/>
          </w:r>
        </w:p>
        <w:p>
          <w:pPr>
            <w:pStyle w:val="22"/>
            <w:tabs>
              <w:tab w:val="right" w:leader="dot" w:pos="8306"/>
            </w:tabs>
            <w:ind w:left="420"/>
          </w:pPr>
          <w:r>
            <w:fldChar w:fldCharType="begin"/>
          </w:r>
          <w:r>
            <w:instrText xml:space="preserve"> HYPERLINK \l "_Toc21513"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end"/>
          </w:r>
        </w:p>
        <w:p>
          <w:pPr>
            <w:pStyle w:val="22"/>
            <w:tabs>
              <w:tab w:val="right" w:leader="dot" w:pos="8306"/>
            </w:tabs>
            <w:ind w:left="420"/>
          </w:pPr>
          <w:r>
            <w:fldChar w:fldCharType="begin"/>
          </w:r>
          <w:r>
            <w:instrText xml:space="preserve"> HYPERLINK \l "_Toc10901"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end"/>
          </w:r>
        </w:p>
        <w:p>
          <w:pPr>
            <w:pStyle w:val="22"/>
            <w:tabs>
              <w:tab w:val="right" w:leader="dot" w:pos="8306"/>
            </w:tabs>
            <w:ind w:left="0" w:leftChars="0" w:firstLine="400" w:firstLineChars="200"/>
          </w:pPr>
          <w:r>
            <w:fldChar w:fldCharType="begin"/>
          </w:r>
          <w:r>
            <w:instrText xml:space="preserve"> HYPERLINK \l "_Toc7136" </w:instrText>
          </w:r>
          <w:r>
            <w:fldChar w:fldCharType="separate"/>
          </w:r>
          <w:r>
            <w:rPr>
              <w:rFonts w:hint="eastAsia" w:ascii="黑体" w:hAnsi="黑体" w:eastAsia="黑体"/>
              <w:szCs w:val="32"/>
            </w:rPr>
            <w:t>九</w:t>
          </w:r>
          <w:r>
            <w:rPr>
              <w:rFonts w:hint="eastAsia" w:ascii="黑体" w:hAnsi="黑体" w:eastAsia="黑体"/>
            </w:rPr>
            <w:t>、其他重要事项的情况说明</w:t>
          </w:r>
          <w:r>
            <w:tab/>
          </w:r>
          <w:r>
            <w:rPr>
              <w:rFonts w:hint="eastAsia"/>
            </w:rPr>
            <w:t>19</w:t>
          </w:r>
          <w:r>
            <w:rPr>
              <w:rFonts w:hint="eastAsia"/>
            </w:rPr>
            <w:fldChar w:fldCharType="end"/>
          </w:r>
        </w:p>
        <w:p>
          <w:pPr>
            <w:pStyle w:val="31"/>
            <w:tabs>
              <w:tab w:val="right" w:leader="dot" w:pos="8306"/>
            </w:tabs>
            <w:ind w:left="840"/>
          </w:pPr>
          <w:r>
            <w:fldChar w:fldCharType="begin"/>
          </w:r>
          <w:r>
            <w:instrText xml:space="preserve"> HYPERLINK \l "_Toc32709" </w:instrText>
          </w:r>
          <w:r>
            <w:fldChar w:fldCharType="separate"/>
          </w:r>
          <w:r>
            <w:rPr>
              <w:rFonts w:hint="eastAsia" w:ascii="仿宋" w:hAnsi="仿宋" w:eastAsia="仿宋"/>
              <w:szCs w:val="32"/>
            </w:rPr>
            <w:t>（一）机关运行经费支出情况</w:t>
          </w:r>
          <w:r>
            <w:tab/>
          </w:r>
          <w:r>
            <w:rPr>
              <w:rFonts w:hint="eastAsia"/>
            </w:rPr>
            <w:t>19</w:t>
          </w:r>
          <w:r>
            <w:rPr>
              <w:rFonts w:hint="eastAsia"/>
            </w:rPr>
            <w:fldChar w:fldCharType="end"/>
          </w:r>
        </w:p>
        <w:p>
          <w:pPr>
            <w:pStyle w:val="31"/>
            <w:tabs>
              <w:tab w:val="right" w:leader="dot" w:pos="8306"/>
            </w:tabs>
            <w:ind w:left="840"/>
          </w:pPr>
          <w:r>
            <w:fldChar w:fldCharType="begin"/>
          </w:r>
          <w:r>
            <w:instrText xml:space="preserve"> HYPERLINK \l "_Toc18213" </w:instrText>
          </w:r>
          <w:r>
            <w:fldChar w:fldCharType="separate"/>
          </w:r>
          <w:r>
            <w:rPr>
              <w:rFonts w:hint="eastAsia" w:ascii="仿宋" w:hAnsi="仿宋" w:eastAsia="仿宋"/>
              <w:szCs w:val="32"/>
            </w:rPr>
            <w:t>（二）国有资产占有使用情况</w:t>
          </w:r>
          <w:r>
            <w:tab/>
          </w:r>
          <w:r>
            <w:rPr>
              <w:rFonts w:hint="eastAsia"/>
            </w:rPr>
            <w:t>20</w:t>
          </w:r>
          <w:r>
            <w:rPr>
              <w:rFonts w:hint="eastAsia"/>
            </w:rPr>
            <w:fldChar w:fldCharType="end"/>
          </w:r>
        </w:p>
        <w:p>
          <w:pPr>
            <w:pStyle w:val="31"/>
            <w:tabs>
              <w:tab w:val="right" w:leader="dot" w:pos="8306"/>
            </w:tabs>
            <w:ind w:left="840"/>
          </w:pPr>
          <w:r>
            <w:fldChar w:fldCharType="begin"/>
          </w:r>
          <w:r>
            <w:instrText xml:space="preserve"> HYPERLINK \l "_Toc3558" </w:instrText>
          </w:r>
          <w:r>
            <w:fldChar w:fldCharType="separate"/>
          </w:r>
          <w:r>
            <w:rPr>
              <w:rFonts w:hint="eastAsia" w:ascii="仿宋" w:hAnsi="仿宋" w:eastAsia="仿宋"/>
              <w:szCs w:val="32"/>
            </w:rPr>
            <w:t>（三）预算绩效管理情况</w:t>
          </w:r>
          <w:r>
            <w:tab/>
          </w:r>
          <w:r>
            <w:rPr>
              <w:rFonts w:hint="eastAsia"/>
            </w:rPr>
            <w:t>20</w:t>
          </w:r>
          <w:r>
            <w:rPr>
              <w:rFonts w:hint="eastAsia"/>
            </w:rPr>
            <w:fldChar w:fldCharType="end"/>
          </w:r>
        </w:p>
        <w:p>
          <w:pPr>
            <w:pStyle w:val="21"/>
            <w:tabs>
              <w:tab w:val="right" w:leader="dot" w:pos="8306"/>
            </w:tabs>
          </w:pPr>
          <w:r>
            <w:fldChar w:fldCharType="begin"/>
          </w:r>
          <w:r>
            <w:instrText xml:space="preserve"> HYPERLINK \l "_Toc18951" </w:instrText>
          </w:r>
          <w: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rPr>
              <w:rFonts w:hint="eastAsia"/>
            </w:rPr>
            <w:t>20</w:t>
          </w:r>
          <w:r>
            <w:rPr>
              <w:rFonts w:hint="eastAsia"/>
            </w:rPr>
            <w:fldChar w:fldCharType="end"/>
          </w:r>
        </w:p>
        <w:p>
          <w:pPr>
            <w:pStyle w:val="21"/>
            <w:tabs>
              <w:tab w:val="right" w:leader="dot" w:pos="8306"/>
            </w:tabs>
          </w:pPr>
          <w:r>
            <w:fldChar w:fldCharType="begin"/>
          </w:r>
          <w:r>
            <w:instrText xml:space="preserve"> HYPERLINK \l "_Toc5092" </w:instrText>
          </w:r>
          <w:r>
            <w:fldChar w:fldCharType="separate"/>
          </w:r>
          <w:r>
            <w:rPr>
              <w:rFonts w:hint="eastAsia" w:ascii="黑体" w:hAnsi="黑体" w:eastAsia="黑体"/>
              <w:szCs w:val="44"/>
            </w:rPr>
            <w:t>第</w:t>
          </w:r>
          <w:r>
            <w:rPr>
              <w:rFonts w:hint="eastAsia" w:ascii="黑体" w:hAnsi="黑体" w:eastAsia="黑体"/>
            </w:rPr>
            <w:t>四部分附件</w:t>
          </w:r>
          <w:r>
            <w:tab/>
          </w:r>
          <w:r>
            <w:rPr>
              <w:rFonts w:hint="eastAsia"/>
            </w:rPr>
            <w:t>23</w:t>
          </w:r>
          <w:r>
            <w:rPr>
              <w:rFonts w:hint="eastAsia"/>
            </w:rPr>
            <w:fldChar w:fldCharType="end"/>
          </w:r>
        </w:p>
        <w:p>
          <w:pPr>
            <w:pStyle w:val="21"/>
            <w:tabs>
              <w:tab w:val="right" w:leader="dot" w:pos="8306"/>
            </w:tabs>
          </w:pPr>
          <w:r>
            <w:fldChar w:fldCharType="begin"/>
          </w:r>
          <w:r>
            <w:instrText xml:space="preserve"> HYPERLINK \l "_Toc9664" </w:instrText>
          </w:r>
          <w:r>
            <w:fldChar w:fldCharType="separate"/>
          </w:r>
          <w:r>
            <w:rPr>
              <w:rFonts w:hint="eastAsia" w:ascii="黑体" w:hAnsi="黑体" w:eastAsia="黑体"/>
            </w:rPr>
            <w:t>第五部分 附表</w:t>
          </w:r>
          <w:r>
            <w:tab/>
          </w:r>
          <w:r>
            <w:rPr>
              <w:rFonts w:hint="eastAsia"/>
            </w:rPr>
            <w:t>26</w:t>
          </w:r>
          <w:r>
            <w:rPr>
              <w:rFonts w:hint="eastAsia"/>
            </w:rPr>
            <w:fldChar w:fldCharType="end"/>
          </w:r>
        </w:p>
        <w:p>
          <w:pPr>
            <w:pStyle w:val="22"/>
            <w:tabs>
              <w:tab w:val="right" w:leader="dot" w:pos="8306"/>
            </w:tabs>
            <w:ind w:left="420"/>
          </w:pPr>
          <w:r>
            <w:fldChar w:fldCharType="begin"/>
          </w:r>
          <w:r>
            <w:instrText xml:space="preserve"> HYPERLINK \l "_Toc26306" </w:instrText>
          </w:r>
          <w:r>
            <w:fldChar w:fldCharType="separate"/>
          </w:r>
          <w:r>
            <w:rPr>
              <w:rFonts w:hint="eastAsia" w:ascii="仿宋" w:hAnsi="仿宋" w:eastAsia="仿宋"/>
            </w:rPr>
            <w:t>一、收入支出决算总表</w:t>
          </w:r>
          <w:r>
            <w:tab/>
          </w:r>
          <w:r>
            <w:rPr>
              <w:rFonts w:hint="eastAsia"/>
            </w:rPr>
            <w:t>26</w:t>
          </w:r>
          <w:r>
            <w:rPr>
              <w:rFonts w:hint="eastAsia"/>
            </w:rPr>
            <w:fldChar w:fldCharType="end"/>
          </w:r>
        </w:p>
        <w:p>
          <w:pPr>
            <w:pStyle w:val="22"/>
            <w:tabs>
              <w:tab w:val="right" w:leader="dot" w:pos="8306"/>
            </w:tabs>
            <w:ind w:left="420"/>
          </w:pPr>
          <w:r>
            <w:fldChar w:fldCharType="begin"/>
          </w:r>
          <w:r>
            <w:instrText xml:space="preserve"> HYPERLINK \l "_Toc26569" </w:instrText>
          </w:r>
          <w:r>
            <w:fldChar w:fldCharType="separate"/>
          </w:r>
          <w:r>
            <w:rPr>
              <w:rFonts w:hint="eastAsia" w:ascii="仿宋" w:hAnsi="仿宋" w:eastAsia="仿宋"/>
            </w:rPr>
            <w:t>二、收入决算表</w:t>
          </w:r>
          <w:r>
            <w:tab/>
          </w:r>
          <w:r>
            <w:fldChar w:fldCharType="end"/>
          </w:r>
        </w:p>
        <w:p>
          <w:pPr>
            <w:pStyle w:val="22"/>
            <w:tabs>
              <w:tab w:val="right" w:leader="dot" w:pos="8306"/>
            </w:tabs>
            <w:ind w:left="420"/>
          </w:pPr>
          <w:r>
            <w:fldChar w:fldCharType="begin"/>
          </w:r>
          <w:r>
            <w:instrText xml:space="preserve"> HYPERLINK \l "_Toc11901" </w:instrText>
          </w:r>
          <w:r>
            <w:fldChar w:fldCharType="separate"/>
          </w:r>
          <w:r>
            <w:rPr>
              <w:rFonts w:hint="eastAsia" w:ascii="仿宋" w:hAnsi="仿宋" w:eastAsia="仿宋"/>
            </w:rPr>
            <w:t>三、支出决算表</w:t>
          </w:r>
          <w:r>
            <w:tab/>
          </w:r>
          <w:r>
            <w:fldChar w:fldCharType="end"/>
          </w:r>
        </w:p>
        <w:p>
          <w:pPr>
            <w:pStyle w:val="22"/>
            <w:tabs>
              <w:tab w:val="right" w:leader="dot" w:pos="8306"/>
            </w:tabs>
            <w:ind w:left="420"/>
          </w:pPr>
          <w:r>
            <w:fldChar w:fldCharType="begin"/>
          </w:r>
          <w:r>
            <w:instrText xml:space="preserve"> HYPERLINK \l "_Toc31541" </w:instrText>
          </w:r>
          <w:r>
            <w:fldChar w:fldCharType="separate"/>
          </w:r>
          <w:r>
            <w:rPr>
              <w:rFonts w:hint="eastAsia" w:ascii="仿宋" w:hAnsi="仿宋" w:eastAsia="仿宋"/>
            </w:rPr>
            <w:t>四、财政拨款收入支出决算总表</w:t>
          </w:r>
          <w:r>
            <w:tab/>
          </w:r>
          <w:r>
            <w:fldChar w:fldCharType="end"/>
          </w:r>
        </w:p>
        <w:p>
          <w:pPr>
            <w:pStyle w:val="22"/>
            <w:tabs>
              <w:tab w:val="right" w:leader="dot" w:pos="8306"/>
            </w:tabs>
            <w:ind w:left="420"/>
          </w:pPr>
          <w:r>
            <w:fldChar w:fldCharType="begin"/>
          </w:r>
          <w:r>
            <w:instrText xml:space="preserve"> HYPERLINK \l "_Toc30725" </w:instrText>
          </w:r>
          <w:r>
            <w:fldChar w:fldCharType="separate"/>
          </w:r>
          <w:r>
            <w:rPr>
              <w:rFonts w:hint="eastAsia" w:ascii="仿宋" w:hAnsi="仿宋" w:eastAsia="仿宋"/>
            </w:rPr>
            <w:t>五、财政拨款支出决算明细表</w:t>
          </w:r>
          <w:r>
            <w:tab/>
          </w:r>
          <w:r>
            <w:fldChar w:fldCharType="end"/>
          </w:r>
        </w:p>
        <w:p>
          <w:pPr>
            <w:pStyle w:val="22"/>
            <w:tabs>
              <w:tab w:val="right" w:leader="dot" w:pos="8306"/>
            </w:tabs>
            <w:ind w:left="420"/>
          </w:pPr>
          <w:r>
            <w:fldChar w:fldCharType="begin"/>
          </w:r>
          <w:r>
            <w:instrText xml:space="preserve"> HYPERLINK \l "_Toc18525" </w:instrText>
          </w:r>
          <w:r>
            <w:fldChar w:fldCharType="separate"/>
          </w:r>
          <w:r>
            <w:rPr>
              <w:rFonts w:hint="eastAsia" w:ascii="仿宋" w:hAnsi="仿宋" w:eastAsia="仿宋"/>
            </w:rPr>
            <w:t>六、一般公共预算财政拨款支出决算表</w:t>
          </w:r>
          <w:r>
            <w:tab/>
          </w:r>
          <w:r>
            <w:fldChar w:fldCharType="end"/>
          </w:r>
        </w:p>
        <w:p>
          <w:pPr>
            <w:pStyle w:val="22"/>
            <w:tabs>
              <w:tab w:val="right" w:leader="dot" w:pos="8306"/>
            </w:tabs>
            <w:ind w:left="420"/>
          </w:pPr>
          <w:r>
            <w:fldChar w:fldCharType="begin"/>
          </w:r>
          <w:r>
            <w:instrText xml:space="preserve"> HYPERLINK \l "_Toc29678" </w:instrText>
          </w:r>
          <w:r>
            <w:fldChar w:fldCharType="separate"/>
          </w:r>
          <w:r>
            <w:rPr>
              <w:rFonts w:hint="eastAsia" w:ascii="仿宋" w:hAnsi="仿宋" w:eastAsia="仿宋"/>
            </w:rPr>
            <w:t>七、一般公共预算财政拨款支出决算明细表</w:t>
          </w:r>
          <w:r>
            <w:tab/>
          </w:r>
          <w:r>
            <w:fldChar w:fldCharType="end"/>
          </w:r>
        </w:p>
        <w:p>
          <w:pPr>
            <w:pStyle w:val="22"/>
            <w:tabs>
              <w:tab w:val="right" w:leader="dot" w:pos="8306"/>
            </w:tabs>
            <w:ind w:left="420"/>
          </w:pPr>
          <w:r>
            <w:fldChar w:fldCharType="begin"/>
          </w:r>
          <w:r>
            <w:instrText xml:space="preserve"> HYPERLINK \l "_Toc2208" </w:instrText>
          </w:r>
          <w:r>
            <w:fldChar w:fldCharType="separate"/>
          </w:r>
          <w:r>
            <w:rPr>
              <w:rFonts w:hint="eastAsia" w:ascii="仿宋" w:hAnsi="仿宋" w:eastAsia="仿宋"/>
            </w:rPr>
            <w:t>八、一般公共预算财政拨款基本支出决算表</w:t>
          </w:r>
          <w:r>
            <w:tab/>
          </w:r>
          <w:r>
            <w:fldChar w:fldCharType="end"/>
          </w:r>
        </w:p>
        <w:p>
          <w:pPr>
            <w:pStyle w:val="22"/>
            <w:tabs>
              <w:tab w:val="right" w:leader="dot" w:pos="8306"/>
            </w:tabs>
            <w:ind w:left="420"/>
          </w:pPr>
          <w:r>
            <w:fldChar w:fldCharType="begin"/>
          </w:r>
          <w:r>
            <w:instrText xml:space="preserve"> HYPERLINK \l "_Toc31951" </w:instrText>
          </w:r>
          <w:r>
            <w:fldChar w:fldCharType="separate"/>
          </w:r>
          <w:r>
            <w:rPr>
              <w:rFonts w:hint="eastAsia" w:ascii="仿宋" w:hAnsi="仿宋" w:eastAsia="仿宋"/>
            </w:rPr>
            <w:t>九、一般公共预算财政拨款项目支出决算表</w:t>
          </w:r>
          <w:r>
            <w:tab/>
          </w:r>
          <w:r>
            <w:fldChar w:fldCharType="end"/>
          </w:r>
        </w:p>
        <w:p>
          <w:pPr>
            <w:pStyle w:val="22"/>
            <w:tabs>
              <w:tab w:val="right" w:leader="dot" w:pos="8306"/>
            </w:tabs>
            <w:ind w:left="420"/>
          </w:pPr>
          <w:r>
            <w:fldChar w:fldCharType="begin"/>
          </w:r>
          <w:r>
            <w:instrText xml:space="preserve"> HYPERLINK \l "_Toc24607" </w:instrText>
          </w:r>
          <w:r>
            <w:fldChar w:fldCharType="separate"/>
          </w:r>
          <w:r>
            <w:rPr>
              <w:rFonts w:hint="eastAsia" w:ascii="仿宋" w:hAnsi="仿宋" w:eastAsia="仿宋"/>
            </w:rPr>
            <w:t>十、一般公共预算财政拨款“三公”经费支出决算表</w:t>
          </w:r>
          <w:r>
            <w:tab/>
          </w:r>
          <w:r>
            <w:fldChar w:fldCharType="end"/>
          </w:r>
        </w:p>
        <w:p>
          <w:pPr>
            <w:pStyle w:val="22"/>
            <w:tabs>
              <w:tab w:val="right" w:leader="dot" w:pos="8306"/>
            </w:tabs>
            <w:ind w:left="420"/>
          </w:pPr>
          <w:r>
            <w:fldChar w:fldCharType="begin"/>
          </w:r>
          <w:r>
            <w:instrText xml:space="preserve"> HYPERLINK \l "_Toc12933" </w:instrText>
          </w:r>
          <w:r>
            <w:fldChar w:fldCharType="separate"/>
          </w:r>
          <w:r>
            <w:rPr>
              <w:rFonts w:hint="eastAsia" w:ascii="仿宋" w:hAnsi="仿宋" w:eastAsia="仿宋"/>
            </w:rPr>
            <w:t>十一、政府性基金预算财政拨款收入支出决算表</w:t>
          </w:r>
          <w:r>
            <w:tab/>
          </w:r>
          <w:r>
            <w:fldChar w:fldCharType="end"/>
          </w:r>
        </w:p>
        <w:p>
          <w:pPr>
            <w:pStyle w:val="22"/>
            <w:tabs>
              <w:tab w:val="right" w:leader="dot" w:pos="8306"/>
            </w:tabs>
            <w:ind w:left="420"/>
          </w:pPr>
          <w:r>
            <w:fldChar w:fldCharType="begin"/>
          </w:r>
          <w:r>
            <w:instrText xml:space="preserve"> HYPERLINK \l "_Toc21122" </w:instrText>
          </w:r>
          <w:r>
            <w:fldChar w:fldCharType="separate"/>
          </w:r>
          <w:r>
            <w:rPr>
              <w:rFonts w:hint="eastAsia" w:ascii="仿宋" w:hAnsi="仿宋" w:eastAsia="仿宋"/>
            </w:rPr>
            <w:t>十二、政府性基金预算财政拨款“三公”经费支出决算表</w:t>
          </w:r>
          <w:r>
            <w:tab/>
          </w:r>
          <w:r>
            <w:fldChar w:fldCharType="end"/>
          </w:r>
        </w:p>
        <w:p>
          <w:pPr>
            <w:pStyle w:val="22"/>
            <w:tabs>
              <w:tab w:val="right" w:leader="dot" w:pos="8306"/>
            </w:tabs>
            <w:ind w:left="420"/>
          </w:pPr>
          <w:r>
            <w:fldChar w:fldCharType="begin"/>
          </w:r>
          <w:r>
            <w:instrText xml:space="preserve"> HYPERLINK \l "_Toc18539" </w:instrText>
          </w:r>
          <w:r>
            <w:fldChar w:fldCharType="separate"/>
          </w:r>
          <w:r>
            <w:rPr>
              <w:rFonts w:hint="eastAsia" w:ascii="仿宋" w:hAnsi="仿宋" w:eastAsia="仿宋"/>
            </w:rPr>
            <w:t>十三、国有资本经营预算财政拨款收入支出决算表</w:t>
          </w:r>
          <w:r>
            <w:tab/>
          </w:r>
          <w:r>
            <w:fldChar w:fldCharType="end"/>
          </w:r>
        </w:p>
        <w:p>
          <w:pPr>
            <w:pStyle w:val="22"/>
            <w:tabs>
              <w:tab w:val="right" w:leader="dot" w:pos="8306"/>
            </w:tabs>
            <w:ind w:left="420"/>
          </w:pPr>
          <w:r>
            <w:fldChar w:fldCharType="begin"/>
          </w:r>
          <w:r>
            <w:instrText xml:space="preserve"> HYPERLINK \l "_Toc21184" </w:instrText>
          </w:r>
          <w:r>
            <w:fldChar w:fldCharType="separate"/>
          </w:r>
          <w:r>
            <w:rPr>
              <w:rFonts w:hint="eastAsia" w:ascii="仿宋" w:hAnsi="仿宋" w:eastAsia="仿宋"/>
            </w:rPr>
            <w:t>十四、国有资本经营预算财政拨款支出决算表</w:t>
          </w:r>
          <w:r>
            <w:tab/>
          </w:r>
          <w:r>
            <w:rPr>
              <w:rFonts w:hint="eastAsia"/>
            </w:rPr>
            <w:t>.</w:t>
          </w:r>
          <w:r>
            <w:rPr>
              <w:rFonts w:hint="eastAsia"/>
            </w:rPr>
            <w:fldChar w:fldCharType="end"/>
          </w:r>
          <w:r>
            <w:rPr>
              <w:rFonts w:hint="eastAsia"/>
            </w:rPr>
            <w:t>26</w:t>
          </w:r>
        </w:p>
        <w:p>
          <w:r>
            <w:fldChar w:fldCharType="end"/>
          </w:r>
        </w:p>
      </w:sdtContent>
    </w:sdt>
    <w:p>
      <w:pPr>
        <w:pStyle w:val="2"/>
        <w:jc w:val="center"/>
        <w:rPr>
          <w:rFonts w:ascii="黑体" w:hAnsi="黑体" w:eastAsia="黑体"/>
          <w:b w:val="0"/>
        </w:rPr>
      </w:pPr>
      <w:bookmarkStart w:id="21" w:name="_Toc23753"/>
    </w:p>
    <w:p>
      <w:pPr>
        <w:pStyle w:val="2"/>
        <w:rPr>
          <w:rFonts w:ascii="黑体" w:hAnsi="黑体" w:eastAsia="黑体"/>
          <w:b w:val="0"/>
        </w:rPr>
      </w:pPr>
    </w:p>
    <w:p>
      <w:pPr>
        <w:pStyle w:val="2"/>
        <w:jc w:val="center"/>
        <w:rPr>
          <w:rFonts w:ascii="黑体" w:hAnsi="黑体" w:eastAsia="黑体"/>
          <w:b w:val="0"/>
        </w:rPr>
      </w:pPr>
    </w:p>
    <w:p>
      <w:pPr>
        <w:pStyle w:val="2"/>
        <w:jc w:val="center"/>
        <w:rPr>
          <w:rFonts w:ascii="黑体" w:hAnsi="黑体" w:eastAsia="黑体"/>
          <w:b w:val="0"/>
        </w:rPr>
      </w:pPr>
    </w:p>
    <w:p>
      <w:pPr>
        <w:pStyle w:val="2"/>
        <w:jc w:val="center"/>
        <w:rPr>
          <w:rFonts w:ascii="黑体" w:hAnsi="黑体" w:eastAsia="黑体"/>
          <w:b w:val="0"/>
        </w:rPr>
      </w:pPr>
    </w:p>
    <w:p>
      <w:pPr>
        <w:pStyle w:val="2"/>
        <w:jc w:val="center"/>
        <w:rPr>
          <w:rFonts w:ascii="黑体" w:hAnsi="黑体" w:eastAsia="黑体"/>
          <w:b w:val="0"/>
        </w:rPr>
      </w:pPr>
    </w:p>
    <w:p>
      <w:pPr>
        <w:pStyle w:val="2"/>
        <w:jc w:val="center"/>
        <w:rPr>
          <w:rFonts w:hint="eastAsia" w:ascii="黑体" w:hAnsi="黑体" w:eastAsia="黑体"/>
          <w:b w:val="0"/>
        </w:rPr>
      </w:pPr>
    </w:p>
    <w:p>
      <w:pPr>
        <w:rPr>
          <w:rFonts w:hint="eastAsia"/>
        </w:rPr>
      </w:pPr>
    </w:p>
    <w:p>
      <w:pPr>
        <w:pStyle w:val="2"/>
        <w:rPr>
          <w:rFonts w:hint="eastAsia"/>
        </w:rPr>
      </w:pPr>
    </w:p>
    <w:p>
      <w:pPr>
        <w:rPr>
          <w:rFonts w:hint="eastAsia"/>
        </w:rPr>
      </w:pPr>
    </w:p>
    <w:p>
      <w:pPr>
        <w:pStyle w:val="2"/>
        <w:rPr>
          <w:rFonts w:hint="eastAsia"/>
        </w:rPr>
      </w:pPr>
    </w:p>
    <w:p/>
    <w:p/>
    <w:p>
      <w:pPr>
        <w:pStyle w:val="2"/>
        <w:jc w:val="center"/>
        <w:rPr>
          <w:rFonts w:ascii="黑体" w:eastAsia="黑体"/>
          <w:color w:val="000000"/>
          <w:sz w:val="32"/>
          <w:szCs w:val="32"/>
        </w:rPr>
      </w:pPr>
      <w:r>
        <w:rPr>
          <w:rFonts w:hint="eastAsia" w:ascii="黑体" w:hAnsi="黑体" w:eastAsia="黑体"/>
          <w:b w:val="0"/>
        </w:rPr>
        <w:t>第一部分</w:t>
      </w:r>
      <w:r>
        <w:rPr>
          <w:rStyle w:val="17"/>
          <w:rFonts w:hint="eastAsia" w:ascii="黑体" w:hAnsi="黑体" w:eastAsia="黑体"/>
          <w:b w:val="0"/>
          <w:bCs w:val="0"/>
        </w:rPr>
        <w:t>部门概况</w:t>
      </w:r>
      <w:bookmarkEnd w:id="21"/>
    </w:p>
    <w:p>
      <w:pPr>
        <w:pStyle w:val="3"/>
        <w:ind w:firstLine="640" w:firstLineChars="200"/>
        <w:rPr>
          <w:rStyle w:val="19"/>
          <w:rFonts w:ascii="仿宋" w:hAnsi="仿宋" w:eastAsia="仿宋"/>
          <w:b w:val="0"/>
          <w:bCs w:val="0"/>
        </w:rPr>
      </w:pPr>
      <w:bookmarkStart w:id="22" w:name="_Toc15377197"/>
      <w:bookmarkStart w:id="23" w:name="_Toc30688"/>
      <w:bookmarkStart w:id="24" w:name="_Toc15396600"/>
      <w:r>
        <w:rPr>
          <w:rFonts w:hint="eastAsia" w:ascii="黑体" w:hAnsi="黑体" w:eastAsia="黑体"/>
          <w:b w:val="0"/>
          <w:color w:val="000000"/>
        </w:rPr>
        <w:t>一、基</w:t>
      </w:r>
      <w:r>
        <w:rPr>
          <w:rStyle w:val="19"/>
          <w:rFonts w:hint="eastAsia" w:ascii="黑体" w:hAnsi="黑体" w:eastAsia="黑体"/>
          <w:b w:val="0"/>
          <w:bCs w:val="0"/>
        </w:rPr>
        <w:t>本职能及主要工作</w:t>
      </w:r>
      <w:bookmarkEnd w:id="22"/>
      <w:bookmarkEnd w:id="23"/>
      <w:bookmarkEnd w:id="24"/>
    </w:p>
    <w:p>
      <w:pPr>
        <w:pStyle w:val="5"/>
        <w:adjustRightInd w:val="0"/>
        <w:snapToGrid w:val="0"/>
        <w:spacing w:before="93" w:line="600" w:lineRule="exact"/>
        <w:ind w:firstLine="674" w:firstLineChars="210"/>
        <w:outlineLvl w:val="2"/>
        <w:rPr>
          <w:rFonts w:ascii="楷体_GB2312" w:hAnsi="楷体_GB2312" w:eastAsia="楷体_GB2312" w:cs="楷体_GB2312"/>
          <w:b/>
          <w:color w:val="000000"/>
          <w:sz w:val="32"/>
          <w:szCs w:val="32"/>
        </w:rPr>
      </w:pPr>
      <w:bookmarkStart w:id="25" w:name="_Toc22468"/>
      <w:bookmarkStart w:id="26" w:name="_Toc15377198"/>
      <w:bookmarkStart w:id="27" w:name="_Toc15378445"/>
      <w:r>
        <w:rPr>
          <w:rFonts w:hint="eastAsia" w:ascii="楷体_GB2312" w:hAnsi="楷体_GB2312" w:eastAsia="楷体_GB2312" w:cs="楷体_GB2312"/>
          <w:b/>
          <w:color w:val="000000"/>
          <w:sz w:val="32"/>
          <w:szCs w:val="32"/>
        </w:rPr>
        <w:t>（一）主要职能</w:t>
      </w:r>
      <w:bookmarkEnd w:id="25"/>
      <w:bookmarkEnd w:id="26"/>
      <w:bookmarkEnd w:id="27"/>
    </w:p>
    <w:p>
      <w:pPr>
        <w:pStyle w:val="5"/>
        <w:adjustRightInd w:val="0"/>
        <w:snapToGrid w:val="0"/>
        <w:spacing w:before="93" w:line="600" w:lineRule="exact"/>
        <w:ind w:firstLine="672" w:firstLineChars="210"/>
        <w:outlineLvl w:val="2"/>
        <w:rPr>
          <w:rFonts w:hAnsi="黑体"/>
          <w:sz w:val="32"/>
          <w:szCs w:val="32"/>
        </w:rPr>
      </w:pPr>
      <w:bookmarkStart w:id="28" w:name="_Toc8852"/>
      <w:r>
        <w:rPr>
          <w:rFonts w:hint="eastAsia" w:ascii="仿宋" w:hAnsi="仿宋" w:eastAsia="仿宋"/>
          <w:bCs/>
          <w:color w:val="000000"/>
          <w:sz w:val="32"/>
          <w:szCs w:val="32"/>
        </w:rPr>
        <w:t>遂宁市中心医院是一所集医疗、教学、科研、预防、保健为一体的国家三级甲等综合医院。医院现承担了省内外十余家医学院校的临床教学任务，是川北医学院、重庆医科大学非直管附属医院，是重庆医科大学、川北医学院附属医院、成都中医药大学遂宁临床学院和遵义医科大学研究生联合培养基地，国家第一批住院医师规范化培训基地、四川省专科医师规范化培训基地、四川省全科医生转岗培训基地，是西班牙特拉萨大学医院、法国昂热医教中心、加拿大七橡树综合医院国际友好合作医院，</w:t>
      </w:r>
      <w:bookmarkEnd w:id="28"/>
      <w:bookmarkStart w:id="29" w:name="_Toc18656"/>
      <w:bookmarkStart w:id="30" w:name="_Toc15378446"/>
      <w:bookmarkStart w:id="31" w:name="_Toc15377199"/>
      <w:r>
        <w:rPr>
          <w:rFonts w:hint="eastAsia" w:hAnsi="黑体"/>
          <w:sz w:val="32"/>
          <w:szCs w:val="32"/>
        </w:rPr>
        <w:t>连续六年进入全国地级城市医院100强，2018年位列全国地级城市医院竞争力第60位、四川省域医院排名第7位。</w:t>
      </w:r>
    </w:p>
    <w:p>
      <w:pPr>
        <w:pStyle w:val="5"/>
        <w:adjustRightInd w:val="0"/>
        <w:snapToGrid w:val="0"/>
        <w:spacing w:before="93" w:line="600" w:lineRule="exact"/>
        <w:ind w:firstLine="674" w:firstLineChars="210"/>
        <w:outlineLvl w:val="2"/>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（二）2018年重点工作完成情况</w:t>
      </w:r>
      <w:bookmarkEnd w:id="29"/>
      <w:bookmarkEnd w:id="30"/>
      <w:bookmarkEnd w:id="31"/>
    </w:p>
    <w:p>
      <w:pPr>
        <w:pStyle w:val="5"/>
        <w:adjustRightInd w:val="0"/>
        <w:snapToGrid w:val="0"/>
        <w:spacing w:before="93" w:line="600" w:lineRule="exact"/>
        <w:ind w:firstLine="674" w:firstLineChars="210"/>
        <w:outlineLvl w:val="2"/>
        <w:rPr>
          <w:rFonts w:ascii="仿宋" w:hAnsi="仿宋" w:eastAsia="仿宋"/>
          <w:b/>
          <w:bCs/>
          <w:color w:val="000000"/>
          <w:sz w:val="32"/>
          <w:szCs w:val="32"/>
        </w:rPr>
      </w:pPr>
      <w:r>
        <w:rPr>
          <w:rFonts w:hint="eastAsia" w:ascii="仿宋" w:hAnsi="仿宋" w:eastAsia="仿宋"/>
          <w:b/>
          <w:bCs/>
          <w:color w:val="000000"/>
          <w:sz w:val="32"/>
          <w:szCs w:val="32"/>
        </w:rPr>
        <w:t>1、加强和完善党的领导，健全医院管理机制</w:t>
      </w:r>
    </w:p>
    <w:p>
      <w:pPr>
        <w:pStyle w:val="5"/>
        <w:adjustRightInd w:val="0"/>
        <w:snapToGrid w:val="0"/>
        <w:spacing w:before="93" w:line="600" w:lineRule="exact"/>
        <w:ind w:firstLine="674" w:firstLineChars="210"/>
        <w:outlineLvl w:val="2"/>
        <w:rPr>
          <w:rFonts w:hint="eastAsia" w:ascii="仿宋" w:hAnsi="仿宋" w:eastAsia="仿宋"/>
          <w:bCs/>
          <w:color w:val="000000"/>
          <w:sz w:val="32"/>
          <w:szCs w:val="32"/>
        </w:rPr>
      </w:pPr>
      <w:r>
        <w:rPr>
          <w:rFonts w:hint="eastAsia" w:ascii="仿宋" w:hAnsi="仿宋" w:eastAsia="仿宋"/>
          <w:b/>
          <w:bCs/>
          <w:color w:val="000000"/>
          <w:sz w:val="32"/>
          <w:szCs w:val="32"/>
        </w:rPr>
        <w:t>（1）接受市委巡察并全力完成整改工作。</w:t>
      </w:r>
      <w:r>
        <w:rPr>
          <w:rFonts w:ascii="仿宋" w:hAnsi="仿宋" w:eastAsia="仿宋"/>
          <w:bCs/>
          <w:color w:val="000000"/>
          <w:sz w:val="32"/>
          <w:szCs w:val="32"/>
        </w:rPr>
        <w:t>2018 年 5 月至 6 月，市委第三巡察组对我院党委开展了集中巡察，并反馈了存在的问题。针对反馈的问题，医院立行立改，安排部署整改工作，每周定期召开巡察问题整改工作推进会，研究落实整改任务，并在党委会上专题汇报整改工作的推进情况，按照职责分工，相关责任人主动认领问题、主动担当责任、认真落实整改，形成了有效的整改合力。同时，以巡察整改为契机，推进问题整改尽快见效与建立长效机制有机结合，完善、修订和新制定规章制度 18项，通过建章立制，加强对权力运行的制约监督，强化制度执行力和约束力，使各项工作有章可循。经过近 4 个月的努力，医院巡察整改工作取得了阶段性成效，巡察反馈的 4 个方面 41 项问题，已有 37 项得到整改落实，有 4 项正在持续整改中。</w:t>
      </w:r>
    </w:p>
    <w:p>
      <w:pPr>
        <w:pStyle w:val="5"/>
        <w:adjustRightInd w:val="0"/>
        <w:snapToGrid w:val="0"/>
        <w:spacing w:before="93" w:line="600" w:lineRule="exact"/>
        <w:ind w:firstLine="481" w:firstLineChars="150"/>
        <w:outlineLvl w:val="2"/>
        <w:rPr>
          <w:rFonts w:ascii="仿宋" w:hAnsi="仿宋" w:eastAsia="仿宋"/>
          <w:bCs/>
          <w:color w:val="000000"/>
          <w:sz w:val="32"/>
          <w:szCs w:val="32"/>
        </w:rPr>
      </w:pPr>
      <w:r>
        <w:rPr>
          <w:rFonts w:ascii="仿宋" w:hAnsi="仿宋" w:eastAsia="仿宋"/>
          <w:b/>
          <w:bCs/>
          <w:color w:val="000000"/>
          <w:sz w:val="32"/>
          <w:szCs w:val="32"/>
        </w:rPr>
        <w:t>（</w:t>
      </w:r>
      <w:r>
        <w:rPr>
          <w:rFonts w:hint="eastAsia" w:ascii="仿宋" w:hAnsi="仿宋" w:eastAsia="仿宋"/>
          <w:b/>
          <w:bCs/>
          <w:color w:val="000000"/>
          <w:sz w:val="32"/>
          <w:szCs w:val="32"/>
        </w:rPr>
        <w:t>2</w:t>
      </w:r>
      <w:r>
        <w:rPr>
          <w:rFonts w:ascii="仿宋" w:hAnsi="仿宋" w:eastAsia="仿宋"/>
          <w:b/>
          <w:bCs/>
          <w:color w:val="000000"/>
          <w:sz w:val="32"/>
          <w:szCs w:val="32"/>
        </w:rPr>
        <w:t>）</w:t>
      </w:r>
      <w:r>
        <w:rPr>
          <w:rFonts w:hint="eastAsia" w:ascii="仿宋" w:hAnsi="仿宋" w:eastAsia="仿宋"/>
          <w:b/>
          <w:bCs/>
          <w:color w:val="000000"/>
          <w:sz w:val="32"/>
          <w:szCs w:val="32"/>
        </w:rPr>
        <w:t>深入开展“大学习、大讨论、大调研”活动。</w:t>
      </w:r>
      <w:r>
        <w:rPr>
          <w:rFonts w:ascii="仿宋" w:hAnsi="仿宋" w:eastAsia="仿宋"/>
          <w:bCs/>
          <w:color w:val="000000"/>
          <w:sz w:val="32"/>
          <w:szCs w:val="32"/>
        </w:rPr>
        <w:t>严格按照省委、市委关于开展“大学习、大讨论、大调研”活动要求，制定医院实施方案，充分利用各种宣传阵地，在院内营造浓厚的宣传氛围。多次开展专题政治学习，班子成员和各联系党支部认真广泛深入开展学习讨论，各党支部分科室开展了“新时代医院发展我们怎么干”大讨论，并撰写讨论报告。结合主题党日活动， 班子成员带领所联系的支部党员深入结对共建社区、对口帮扶贫困村开展义诊、健康宣教等活动，不断增强“大学习、大讨论、大调研”活动的实效。</w:t>
      </w:r>
    </w:p>
    <w:p>
      <w:pPr>
        <w:pStyle w:val="5"/>
        <w:adjustRightInd w:val="0"/>
        <w:snapToGrid w:val="0"/>
        <w:spacing w:before="93" w:line="600" w:lineRule="exact"/>
        <w:ind w:firstLine="672" w:firstLineChars="210"/>
        <w:outlineLvl w:val="2"/>
        <w:rPr>
          <w:rFonts w:ascii="仿宋" w:hAnsi="仿宋" w:eastAsia="仿宋"/>
          <w:b/>
          <w:bCs/>
          <w:color w:val="000000"/>
          <w:sz w:val="32"/>
          <w:szCs w:val="32"/>
        </w:rPr>
      </w:pPr>
      <w:r>
        <w:rPr>
          <w:rFonts w:hint="eastAsia" w:ascii="仿宋" w:hAnsi="仿宋" w:eastAsia="仿宋"/>
          <w:bCs/>
          <w:color w:val="000000"/>
          <w:sz w:val="32"/>
          <w:szCs w:val="32"/>
        </w:rPr>
        <w:t>（3）</w:t>
      </w:r>
      <w:r>
        <w:rPr>
          <w:rFonts w:hint="eastAsia" w:ascii="仿宋" w:hAnsi="仿宋" w:eastAsia="仿宋"/>
          <w:b/>
          <w:bCs/>
          <w:color w:val="000000"/>
          <w:sz w:val="32"/>
          <w:szCs w:val="32"/>
        </w:rPr>
        <w:t>深入开展“查问题、讲担当、提效能”作风整治行动。</w:t>
      </w:r>
      <w:r>
        <w:rPr>
          <w:rFonts w:ascii="仿宋" w:hAnsi="仿宋" w:eastAsia="仿宋"/>
          <w:bCs/>
          <w:color w:val="000000"/>
          <w:sz w:val="32"/>
          <w:szCs w:val="32"/>
        </w:rPr>
        <w:t>去年 10 月以来，市直机关工委牵头在市直机关开展“查问题、讲担当、提效能”作风整治行动，医院高度重视此项工作，第一时间在全院召开动员会，传达会议精神，安排部署工作。院班子成员带头发挥模范作用，把“讲担当、转作风、提效能、抓落实” 作为出发点和落脚点，让“马上办、务实干”成为工作习惯和内心自觉。院党委组织安排全院干部职工分科室开展作风整治专题政治业务学习，并积极开展自查自纠工作，各职能部门组成联合督查组，在院内开展作风整治行动专项督查，对全院工作人员在岗履职状态、作风行风情况等进行了督查，结合督察情况，对 4 个科室、9 名工作人员给予了严肃处理。通过整治活动，进一步提升了医院工作效能，改进了工作作风。</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（4）健全和完善医院内部管理制度。</w:t>
      </w:r>
      <w:r>
        <w:rPr>
          <w:rFonts w:ascii="仿宋" w:hAnsi="仿宋" w:eastAsia="仿宋"/>
          <w:bCs/>
          <w:color w:val="000000"/>
          <w:sz w:val="32"/>
          <w:szCs w:val="32"/>
        </w:rPr>
        <w:t>坚持科学决策、民主决策、依法决策，坚决落实“三重一大”民主决策要求。对标新时代加强公立医院党的建设工作要求，在广泛征求意见和建议的基础上，对医院党委会议事规则、院长办公会议事规则进行了修订和完善，明确了工作机制和决策范围，为医院管理工作有序开展指明了方向。为进一步推动管理科学化、规范化，落实工作责任，医院制定印发了《实行重大项目负责制（试行）的通知》，加强对重大项目的管理，防治推诿扯皮和工作效率低下，并以此为始，努力建立权责清晰、管理科学、治理完善、运行高效、监督有力的现代医院管理制度。</w:t>
      </w:r>
    </w:p>
    <w:p>
      <w:pPr>
        <w:pStyle w:val="5"/>
        <w:adjustRightInd w:val="0"/>
        <w:snapToGrid w:val="0"/>
        <w:spacing w:before="93" w:line="600" w:lineRule="exact"/>
        <w:ind w:firstLine="674" w:firstLineChars="210"/>
        <w:outlineLvl w:val="2"/>
        <w:rPr>
          <w:rFonts w:ascii="仿宋" w:hAnsi="仿宋" w:eastAsia="仿宋"/>
          <w:b/>
          <w:bCs/>
          <w:color w:val="000000"/>
          <w:sz w:val="32"/>
          <w:szCs w:val="32"/>
        </w:rPr>
      </w:pPr>
      <w:r>
        <w:rPr>
          <w:rFonts w:hint="eastAsia" w:ascii="仿宋" w:hAnsi="仿宋" w:eastAsia="仿宋"/>
          <w:b/>
          <w:bCs/>
          <w:color w:val="000000"/>
          <w:sz w:val="32"/>
          <w:szCs w:val="32"/>
        </w:rPr>
        <w:t>2、坚持推动医院高质量发展，不断提升人民群众看病就医获得感、幸福感和安全感</w:t>
      </w:r>
    </w:p>
    <w:p>
      <w:pPr>
        <w:pStyle w:val="5"/>
        <w:adjustRightInd w:val="0"/>
        <w:snapToGrid w:val="0"/>
        <w:spacing w:before="93" w:line="600" w:lineRule="exact"/>
        <w:ind w:firstLine="674" w:firstLineChars="210"/>
        <w:outlineLvl w:val="2"/>
        <w:rPr>
          <w:rFonts w:hint="eastAsia" w:ascii="仿宋" w:hAnsi="仿宋" w:eastAsia="仿宋"/>
          <w:bCs/>
          <w:color w:val="000000"/>
          <w:sz w:val="32"/>
          <w:szCs w:val="32"/>
        </w:rPr>
      </w:pPr>
      <w:r>
        <w:rPr>
          <w:rFonts w:hint="eastAsia" w:ascii="仿宋" w:hAnsi="仿宋" w:eastAsia="仿宋"/>
          <w:b/>
          <w:bCs/>
          <w:color w:val="000000"/>
          <w:sz w:val="32"/>
          <w:szCs w:val="32"/>
        </w:rPr>
        <w:t>（1）围绕患者安全，持续提高服务水平。</w:t>
      </w:r>
      <w:r>
        <w:rPr>
          <w:rFonts w:ascii="仿宋" w:hAnsi="仿宋" w:eastAsia="仿宋"/>
          <w:bCs/>
          <w:color w:val="000000"/>
          <w:sz w:val="32"/>
          <w:szCs w:val="32"/>
        </w:rPr>
        <w:t>坚持推进依法执业，开展专项培训，提高法律意识和风险防范能力。严格落实医疗质量和医疗安全管理核心制度，定期进行医疗核心制度执行情况督查及通报，加强病历质量监管及处罚力度。继续加强临床合理用药督查，保障用药安全。根据用药违规行为专项整治工作要求，积极开展自查工作，重点点评门诊处方、重点监控药物、抗菌药物等，加强次均药品费用控制，目前医院药占比仅为 21.9%，平均住院日进一步压缩至8.8 天；住院患者均次费用为11451 元， 门诊患者均次费用为 241 元，较省内同级医院低 30%左右，在保障患者安全的基础上，有效节约了医疗资源。</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（2）紧抓科研教学，逐步实现转型发展。</w:t>
      </w:r>
      <w:r>
        <w:rPr>
          <w:rFonts w:ascii="仿宋" w:hAnsi="仿宋" w:eastAsia="仿宋"/>
          <w:bCs/>
          <w:color w:val="000000"/>
          <w:sz w:val="32"/>
          <w:szCs w:val="32"/>
        </w:rPr>
        <w:t>以科技创新工作为切入点，进一步加强科研工作，开展高层次科研项目。在校市合作的背景下，与中国科学院大学合作建设了健康医疗大数据遂宁研究中心，是全国首个健康医疗大数据地级市试点，并共同建设了高标准、高水平的生物样本库和基因检测实验室，标志着我院在健康医疗数据整合和挖掘方面走在了省内前列。在诺贝尔医学奖获得者毕晓普教授的指导下，与毕晓普癌症研究所合作建立了精准肿瘤学基础实验室，致力于推进医院在癌症诊断与治疗领域基础研究工作的开展，并努力将研究成果转化为癌症精准诊断及治疗方法。借助这一平台，去年 10 月我院举办了肿瘤精准诊疗国际学术会议，毕晓普教授及其团队亲临遂宁授课，为遂宁带来了一场学术盛宴。</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（3）推进人才强院，学科发展实现新突破。</w:t>
      </w:r>
      <w:r>
        <w:rPr>
          <w:rFonts w:ascii="仿宋" w:hAnsi="仿宋" w:eastAsia="仿宋"/>
          <w:bCs/>
          <w:color w:val="000000"/>
          <w:sz w:val="32"/>
          <w:szCs w:val="32"/>
        </w:rPr>
        <w:t>建立健全人才工作制度，坚持公正用人，树立正确的引才用人导向，最大限度发挥人才效用，逐步形成选人、育人、用人、留人的良好机制，为医院可持续发展奠定坚实的人才基础。去年共引进研究生 50人，其中博士研究生 4 人；招聘非在编工作人员 119 人，充实临床一线工作队伍。积极搭建学习平台，加大自主培养力度，坚定不移实施“双百”人才培养计划，选派 46 名业务骨干和管理干部赴美国、英国、德国、法国等国家进行中短期访问交流。搭建管理平台，对德才兼备的高学历人才有计划地培养和考察，促使他们尽快成才。去年，我院有 10 位专家成为四川省卫生健康委员会学术技术带头人及后备人选。重视学科建设，学科数量再突破，胸外科成功创建四川省医学甲级重点专科，神经内科升级为重点学科，目前我院有省级重点学科 4 个、重点专科 14 个。胸痛中心、卒中中心建设成效明显，冠脉支架植入量达到 829 台次，为省内同级医院最多，其中急诊患者超过 50%，这一数据背后是数百个生命的健康和家庭的幸福；卒中中心连续进入国家高级卒中中心排名前 100 位；海扶中心持续领跑，累计治疗量突破 7000 例，促进了微无创学科的发展，我院牵头成立了四川省医学会微无创学组和四川省医师协会微无创学组，其中医学会微无创学组是全国首个省级医学会成立的学组。依托学科发展，医院综合救治能力得到明显提高，在微无创技术、急危重症以及重型复合损伤救治方面尤为突出，多个学科开展的新技术、新工作在省内外产生了较大影响。</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（4）认真开展新一轮改善医疗服务行动。</w:t>
      </w:r>
      <w:r>
        <w:rPr>
          <w:rFonts w:ascii="仿宋" w:hAnsi="仿宋" w:eastAsia="仿宋"/>
          <w:bCs/>
          <w:color w:val="000000"/>
          <w:sz w:val="32"/>
          <w:szCs w:val="32"/>
        </w:rPr>
        <w:t>继续推进医联体建设，提升基层医疗机构服务能力，方便群众就医。建立多学科诊疗方式，院内建立了 20 多个 MDT 团队，为患者提供多学科多维度的诊疗服务，提高疑难重症患者的诊疗水平。成立日间手术中心，针对不同病种采取集中收治与病区分散收治相结合的方式，去年完成日间手术近 4000 例，有效提高了诊疗效率，加强了环节控制，降低了平均住院费用和住院天数。成立互联网医疗科，依托互联网技术手段，开展和完善基层医院远程会诊体系建设，实现远程诊断、教学、预约、查房指导等多项远程医疗活动， 初步形成了“互联网+远程医疗”的医疗服务模式，其中远程诊断已成为一大亮点工作。多维度提升提高患者和医务人员的满意度，开展“厕所革命”，更换设施设备，实行专人负责管理；加强食堂管理，从食品卫生、安全以及饭菜质量、服务态度等多方面对食堂工作进行监管。以信息化为依托，推进智慧医疗服务， 实现电话、微信、手机 APP 和自助预约机等多种方式的预约诊疗服务，预约时间已经精确到 1 小时。由于工作成绩突出，成效显著，在改善医疗服务行动全国大赛中，我院在“构建和谐医患关系”和“全面提升患者满意度”两个主题的参赛中获得十大价值案例奖。</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（5）加强文化建设，提升医院软实力。</w:t>
      </w:r>
      <w:r>
        <w:rPr>
          <w:rFonts w:ascii="仿宋" w:hAnsi="仿宋" w:eastAsia="仿宋"/>
          <w:bCs/>
          <w:color w:val="000000"/>
          <w:sz w:val="32"/>
          <w:szCs w:val="32"/>
        </w:rPr>
        <w:t>以全国文明城市复检为契机，持续巩固全国文明单位创建成果。开展丰富多彩的文化活动，积极拓展宣传渠道，塑造品牌文化，形成文化共识。持续组织开办书法班、绘画班、读书班等多个兴趣小组和文体组织， 举办职工运动会等形式多样、内容丰富的文体活动，丰富职工的业余生活，提升人文素养。在门诊部及多个临床科室建立“移动书吧”，营造书香博济氛围。开展新年节日慰问一线职工、离退休职工等，定期召开老同志座谈会、青年职工座谈会，回顾历史， 展望未来，加强百年博济文化的传承，在全院形成了一种蓬勃向上、积极学习、热爱医院、团结友爱的良好氛围，有力推动医院事业发展和进步。</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（6）坚持扶贫帮困，扎实开展脱贫攻坚。</w:t>
      </w:r>
      <w:r>
        <w:rPr>
          <w:rFonts w:ascii="仿宋" w:hAnsi="仿宋" w:eastAsia="仿宋"/>
          <w:bCs/>
          <w:color w:val="000000"/>
          <w:sz w:val="32"/>
          <w:szCs w:val="32"/>
        </w:rPr>
        <w:t>2018 年是脱贫攻坚的关键之年，我院共帮扶蓬溪县黄泥乡高岩村、依姑村和理县杂谷脑镇打色尔沟村三个贫困村，医院班子高度重视并按照要求扎实开展工作。开展“以健康扶贫为切入点，坚决打赢脱贫攻坚战”的大讨论，针对不同帮扶点的实际情况，制定了一系列有针对性的帮扶措施。为丰富村民文化生活，邀请专业艺术团队到高岩村、依姑村开展文艺汇演，丰富群众文化生活。深入开展健康扶贫，支医专家团队 4 次深入贫困患者家中把脉问诊，精准诊治，开展健康宣教，获得广泛好评。向打色尔沟村提供了 10 万元资金，支持当地修建了机耕道路和生产便道，有效解决了农产品运输难问题。全院职工积极踊跃捐款 25 万元，用于对口扶贫点基础建设和农业项目。帮助贫困村民拓展农产品销路，以购扶 4.6 万斤大米,助推当地产业发展，推动扶贫工作取得实效。</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（7）关心关爱职工，实现发展成果共享。</w:t>
      </w:r>
      <w:r>
        <w:rPr>
          <w:rFonts w:ascii="仿宋" w:hAnsi="仿宋" w:eastAsia="仿宋"/>
          <w:bCs/>
          <w:color w:val="000000"/>
          <w:sz w:val="32"/>
          <w:szCs w:val="32"/>
        </w:rPr>
        <w:t>坚持“以人为本，医患并重”的发展理念，在工作环境、学习机遇、绩效考核等方面充分考虑职工利益和感受，尤其是临床一线医护人员。在院区改造中，下大力气改善医护人员休息和学习环境，医院内科楼为上世纪 90 年代建筑，改造难度较大，但仍坚定不移实施改造， 新增了学习室、休闲厅，独立设置了值班休息区，让职工更有尊严地工作。进一步做大做强工会产业，在原有基础上，开辟了蔬菜、水果等种植产业，免费向职工提供。在绩效考核中，坚持向临床一线倾斜、向高层次人次倾斜、向高技术含量岗位倾斜，使职工充分享受医院改革发展的成果，努力促使大家对美好生活的向往在遂宁市中心医院变为现实。</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（8）全力以赴做好院区规划工作。</w:t>
      </w:r>
      <w:r>
        <w:rPr>
          <w:rFonts w:ascii="仿宋" w:hAnsi="仿宋" w:eastAsia="仿宋"/>
          <w:bCs/>
          <w:color w:val="000000"/>
          <w:sz w:val="32"/>
          <w:szCs w:val="32"/>
        </w:rPr>
        <w:t>坚持科学合理布局，大力推进院区建设。河东院区二期工程实行全面代建管理，已经开工建设。皮肤病院区在年初投入使用，运营状况良好，服务能力和水平有了明显提升，学科影响力逐步扩大。肿瘤院区已经完成规划设计和项目招标等工作，将尽快启动建设。康复院区已经开始建设，建成后康复中心将整体外搬，实现独立院区运行。随着这些项目的逐步建成，多点布局、多院区发展的规划将逐步落地实现，医院规模效益将逐步显现，更好地为全市人民群众健康服务。</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（9）勇担社会责任，彰显博济情怀。</w:t>
      </w:r>
      <w:r>
        <w:rPr>
          <w:rFonts w:ascii="仿宋" w:hAnsi="仿宋" w:eastAsia="仿宋"/>
          <w:bCs/>
          <w:color w:val="000000"/>
          <w:sz w:val="32"/>
          <w:szCs w:val="32"/>
        </w:rPr>
        <w:t>弘扬博爱广济情怀,积极开展社会公益活动,赢得了社会广泛的赞誉,取得了良好的社会效益。持续广泛开展“博济志愿者”服务活动，将志愿服务活动延伸到基层、社区和家庭，为空巢老人、留守儿童、困难职工、残疾人等开展送温暖、献爱心、扶老助残等各类形式的志愿服务活动，职工全年参加志愿服务 1300 余人次。南丁格尔、蓝天使、红手环、糖友志愿服务等多种志愿活动大力开展，医院“博济志愿服务队”荣获全市 2017 年度十佳志愿服务组织荣誉称号。扎实开展健康扶贫工作，积极在城镇社区、乡村开展义诊、宣传、免费送医送药等，全年组织以“健康扶贫”为主题的义诊活动67 次，参与活动的专家及医务人员 800 余人次，以实际行动为基层群众提供了健康保障。</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（10）做好传染病医院代管工作。</w:t>
      </w:r>
      <w:r>
        <w:rPr>
          <w:rFonts w:ascii="仿宋" w:hAnsi="仿宋" w:eastAsia="仿宋"/>
          <w:bCs/>
          <w:color w:val="000000"/>
          <w:sz w:val="32"/>
          <w:szCs w:val="32"/>
        </w:rPr>
        <w:t>尽全力做好市传染病医院代管工作，2018 年市传染病医院门诊人次达到 4.2 万，出院量为 1777 人次，业务量实现一定程度的增长。在公共卫生方面，市传染病医院承担了全市艾滋病防控重点工作，牵头成立了遂宁市艾滋病质控中心，在人员严重不足、经费紧张的情况下，完成了上级下达的目标任务，同时承担并完成了船山区结核病患者的治疗与管理工作。为确保环保达标，启动了污水处理站扩容技改项目，租赁了一体化处理设备，确保了废水处理符合要求。但由于长期以来存在的管理体制的问题，传染病医院在管理体系上互相交错，管理责任界限不清，导致管理效率低下，已经阻碍了传染病医院的良性发展。去年底，市传染病医院已经向上级提出了独立运行的请求。</w:t>
      </w:r>
    </w:p>
    <w:p>
      <w:pPr>
        <w:pStyle w:val="5"/>
        <w:adjustRightInd w:val="0"/>
        <w:snapToGrid w:val="0"/>
        <w:spacing w:before="93" w:line="600" w:lineRule="exact"/>
        <w:ind w:firstLine="674" w:firstLineChars="210"/>
        <w:outlineLvl w:val="2"/>
        <w:rPr>
          <w:rFonts w:ascii="仿宋" w:hAnsi="仿宋" w:eastAsia="仿宋"/>
          <w:b/>
          <w:bCs/>
          <w:color w:val="000000"/>
          <w:sz w:val="32"/>
          <w:szCs w:val="32"/>
        </w:rPr>
      </w:pPr>
      <w:r>
        <w:rPr>
          <w:rFonts w:hint="eastAsia" w:ascii="仿宋" w:hAnsi="仿宋" w:eastAsia="仿宋"/>
          <w:b/>
          <w:bCs/>
          <w:color w:val="000000"/>
          <w:sz w:val="32"/>
          <w:szCs w:val="32"/>
        </w:rPr>
        <w:t>3、落实党风廉</w:t>
      </w:r>
      <w:r>
        <w:rPr>
          <w:rFonts w:hint="eastAsia" w:ascii="仿宋" w:hAnsi="仿宋" w:eastAsia="仿宋"/>
          <w:b/>
          <w:bCs/>
          <w:color w:val="000000"/>
          <w:sz w:val="32"/>
          <w:szCs w:val="32"/>
          <w:lang w:eastAsia="zh-CN"/>
        </w:rPr>
        <w:t>政</w:t>
      </w:r>
      <w:r>
        <w:rPr>
          <w:rFonts w:hint="eastAsia" w:ascii="仿宋" w:hAnsi="仿宋" w:eastAsia="仿宋"/>
          <w:b/>
          <w:bCs/>
          <w:color w:val="000000"/>
          <w:sz w:val="32"/>
          <w:szCs w:val="32"/>
        </w:rPr>
        <w:t>建设，全面推进从严治党</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（1）严格落实“一岗双责”。</w:t>
      </w:r>
      <w:r>
        <w:rPr>
          <w:rFonts w:ascii="仿宋" w:hAnsi="仿宋" w:eastAsia="仿宋"/>
          <w:bCs/>
          <w:color w:val="000000"/>
          <w:sz w:val="32"/>
          <w:szCs w:val="32"/>
        </w:rPr>
        <w:t>根据工作分工，严格落实“一岗双责”要求，党委书记对全院党风廉政建设负主体责任，分管领导对所分管科室党风廉政建设负主体责任，党委书记与班子成员、分管领导与联系科室层层签订《党风廉政建设责任书》和《廉洁自律承诺书》。坚持分工负责，责任到人，人人抓好自己的“责任田”，班子成员认真履行“一岗双责”，主动抓，经常抓，一级抓一级，一级带一级，形成责任具体、环环相扣的“责任链”， 坚决杜绝责任虚设、监管空转。</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（2）深化廉政风险防控。</w:t>
      </w:r>
      <w:r>
        <w:rPr>
          <w:rFonts w:ascii="仿宋" w:hAnsi="仿宋" w:eastAsia="仿宋"/>
          <w:bCs/>
          <w:color w:val="000000"/>
          <w:sz w:val="32"/>
          <w:szCs w:val="32"/>
        </w:rPr>
        <w:t>认真梳理排查预防腐败的廉政风险点，制定有针对性的防控措施，建立风险台帐，实施动态防控， 推动作风建设抓早抓小，防微杜渐。坚持正面</w:t>
      </w:r>
      <w:bookmarkStart w:id="142" w:name="_GoBack"/>
      <w:bookmarkEnd w:id="142"/>
      <w:r>
        <w:rPr>
          <w:rFonts w:ascii="仿宋" w:hAnsi="仿宋" w:eastAsia="仿宋"/>
          <w:bCs/>
          <w:color w:val="000000"/>
          <w:sz w:val="32"/>
          <w:szCs w:val="32"/>
        </w:rPr>
        <w:t>典型教育与反面案例剖析相结合，通过开展参观廉政教育基地、观看警示教育片、听廉政教育课等活动，有针对性地进行廉洁从政、廉洁行医教育， 邀请市纪委负责同志为全院党员领导干部讲党课，进一步了解和掌握全面从严治党的形式与任务。观看警示教育片，开展会前学纪，让纪律红线深入人心，让党员干部止步于破纪之初。</w:t>
      </w:r>
    </w:p>
    <w:p>
      <w:pPr>
        <w:pStyle w:val="5"/>
        <w:adjustRightInd w:val="0"/>
        <w:snapToGrid w:val="0"/>
        <w:spacing w:before="93" w:line="600" w:lineRule="exact"/>
        <w:ind w:firstLine="674" w:firstLineChars="210"/>
        <w:outlineLvl w:val="2"/>
        <w:rPr>
          <w:rFonts w:ascii="仿宋" w:hAnsi="仿宋" w:eastAsia="仿宋"/>
          <w:bCs/>
          <w:color w:val="000000"/>
          <w:sz w:val="32"/>
          <w:szCs w:val="32"/>
        </w:rPr>
      </w:pPr>
      <w:r>
        <w:rPr>
          <w:rFonts w:hint="eastAsia" w:ascii="仿宋" w:hAnsi="仿宋" w:eastAsia="仿宋"/>
          <w:b/>
          <w:bCs/>
          <w:color w:val="000000"/>
          <w:sz w:val="32"/>
          <w:szCs w:val="32"/>
        </w:rPr>
        <w:t>（3）强化执纪监督问责。</w:t>
      </w:r>
      <w:r>
        <w:rPr>
          <w:rFonts w:ascii="仿宋" w:hAnsi="仿宋" w:eastAsia="仿宋"/>
          <w:bCs/>
          <w:color w:val="000000"/>
          <w:sz w:val="32"/>
          <w:szCs w:val="32"/>
        </w:rPr>
        <w:t>盯住关键岗位，重点关注“三重一大”、基建项目、招标采购、人员招聘、干部选拔等重大事项的实施。去年，医院提拔了 11 名中层干部，自主招聘非在编人员 99 名，均完全按规定程序开展工作。召开干部任前廉洁谈话会，增强廉洁行政自律意识，始终绷紧廉洁自律这根弦，保持清醒的头脑。召开年度考核提醒谈话会，对年度考核中被评定为“基本合格”“不合格”的医护人员开展提醒谈话，帮助其认识到自己工作中存在的缺点和不足，督促其改正工作作风。</w:t>
      </w:r>
    </w:p>
    <w:p>
      <w:pPr>
        <w:pStyle w:val="3"/>
        <w:ind w:firstLine="640" w:firstLineChars="200"/>
        <w:rPr>
          <w:rStyle w:val="19"/>
          <w:b w:val="0"/>
          <w:bCs w:val="0"/>
        </w:rPr>
      </w:pPr>
      <w:bookmarkStart w:id="32" w:name="_Toc15377200"/>
      <w:bookmarkStart w:id="33" w:name="_Toc15396601"/>
      <w:bookmarkStart w:id="34" w:name="_Toc12084"/>
      <w:r>
        <w:rPr>
          <w:rFonts w:hint="eastAsia" w:ascii="黑体" w:eastAsia="黑体"/>
          <w:b w:val="0"/>
          <w:color w:val="000000"/>
        </w:rPr>
        <w:t>二、</w:t>
      </w:r>
      <w:r>
        <w:rPr>
          <w:rFonts w:hint="eastAsia" w:ascii="黑体" w:hAnsi="黑体" w:eastAsia="黑体"/>
          <w:b w:val="0"/>
          <w:color w:val="000000"/>
        </w:rPr>
        <w:t>机</w:t>
      </w:r>
      <w:r>
        <w:rPr>
          <w:rStyle w:val="19"/>
          <w:rFonts w:hint="eastAsia" w:ascii="黑体" w:hAnsi="黑体" w:eastAsia="黑体"/>
          <w:b w:val="0"/>
          <w:bCs w:val="0"/>
        </w:rPr>
        <w:t>构设置</w:t>
      </w:r>
      <w:bookmarkEnd w:id="32"/>
      <w:bookmarkEnd w:id="33"/>
      <w:bookmarkEnd w:id="34"/>
    </w:p>
    <w:p>
      <w:pPr>
        <w:pStyle w:val="5"/>
        <w:adjustRightInd w:val="0"/>
        <w:snapToGrid w:val="0"/>
        <w:spacing w:before="93"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遂宁市中心医院无下属单位，按照部门决算编报要求，单独编制本部门决算。</w:t>
      </w:r>
    </w:p>
    <w:p>
      <w:pPr>
        <w:pStyle w:val="5"/>
        <w:adjustRightInd w:val="0"/>
        <w:snapToGrid w:val="0"/>
        <w:spacing w:before="93" w:line="600" w:lineRule="exact"/>
        <w:ind w:firstLine="640" w:firstLineChars="200"/>
        <w:rPr>
          <w:rFonts w:ascii="仿宋" w:hAnsi="仿宋" w:eastAsia="仿宋"/>
          <w:color w:val="000000"/>
          <w:sz w:val="32"/>
          <w:szCs w:val="32"/>
        </w:rPr>
      </w:pPr>
    </w:p>
    <w:p>
      <w:pPr>
        <w:pStyle w:val="5"/>
        <w:adjustRightInd w:val="0"/>
        <w:snapToGrid w:val="0"/>
        <w:spacing w:before="93" w:line="600" w:lineRule="exact"/>
        <w:ind w:firstLine="640" w:firstLineChars="200"/>
        <w:rPr>
          <w:rFonts w:ascii="仿宋" w:hAnsi="仿宋" w:eastAsia="仿宋"/>
          <w:color w:val="000000"/>
          <w:sz w:val="32"/>
          <w:szCs w:val="32"/>
        </w:rPr>
      </w:pPr>
    </w:p>
    <w:p>
      <w:pPr>
        <w:pStyle w:val="5"/>
        <w:adjustRightInd w:val="0"/>
        <w:snapToGrid w:val="0"/>
        <w:spacing w:before="93" w:line="600" w:lineRule="exact"/>
        <w:ind w:firstLine="640" w:firstLineChars="200"/>
        <w:rPr>
          <w:rFonts w:hint="eastAsia" w:ascii="仿宋" w:hAnsi="仿宋" w:eastAsia="仿宋"/>
          <w:color w:val="000000"/>
          <w:sz w:val="32"/>
          <w:szCs w:val="32"/>
        </w:rPr>
      </w:pPr>
    </w:p>
    <w:p>
      <w:pPr>
        <w:pStyle w:val="5"/>
        <w:adjustRightInd w:val="0"/>
        <w:snapToGrid w:val="0"/>
        <w:spacing w:before="93" w:line="600" w:lineRule="exact"/>
        <w:ind w:firstLine="640" w:firstLineChars="200"/>
        <w:rPr>
          <w:rFonts w:hint="eastAsia" w:ascii="仿宋" w:hAnsi="仿宋" w:eastAsia="仿宋"/>
          <w:color w:val="000000"/>
          <w:sz w:val="32"/>
          <w:szCs w:val="32"/>
        </w:rPr>
      </w:pPr>
    </w:p>
    <w:p>
      <w:pPr>
        <w:pStyle w:val="5"/>
        <w:adjustRightInd w:val="0"/>
        <w:snapToGrid w:val="0"/>
        <w:spacing w:before="93" w:line="600" w:lineRule="exact"/>
        <w:ind w:firstLine="640" w:firstLineChars="200"/>
        <w:rPr>
          <w:rFonts w:ascii="仿宋" w:hAnsi="仿宋" w:eastAsia="仿宋"/>
          <w:color w:val="000000"/>
          <w:sz w:val="32"/>
          <w:szCs w:val="32"/>
        </w:rPr>
      </w:pPr>
    </w:p>
    <w:p>
      <w:pPr>
        <w:pStyle w:val="2"/>
        <w:ind w:right="440"/>
        <w:jc w:val="right"/>
      </w:pPr>
      <w:bookmarkStart w:id="35" w:name="_Toc26682"/>
      <w:r>
        <w:rPr>
          <w:rFonts w:hint="eastAsia" w:ascii="黑体" w:hAnsi="黑体" w:eastAsia="黑体"/>
          <w:b w:val="0"/>
          <w:color w:val="000000"/>
        </w:rPr>
        <w:t>第二部分</w:t>
      </w:r>
      <w:r>
        <w:rPr>
          <w:rStyle w:val="17"/>
          <w:rFonts w:ascii="黑体" w:hAnsi="黑体" w:eastAsia="黑体"/>
          <w:b w:val="0"/>
          <w:bCs w:val="0"/>
        </w:rPr>
        <w:t>20</w:t>
      </w:r>
      <w:r>
        <w:rPr>
          <w:rStyle w:val="17"/>
          <w:rFonts w:hint="eastAsia" w:ascii="黑体" w:hAnsi="黑体" w:eastAsia="黑体"/>
          <w:b w:val="0"/>
          <w:bCs w:val="0"/>
        </w:rPr>
        <w:t>18年度部门决算情况说明</w:t>
      </w:r>
      <w:bookmarkEnd w:id="35"/>
    </w:p>
    <w:p>
      <w:pPr>
        <w:pStyle w:val="18"/>
        <w:numPr>
          <w:ilvl w:val="0"/>
          <w:numId w:val="1"/>
        </w:numPr>
        <w:spacing w:line="600" w:lineRule="exact"/>
        <w:ind w:firstLineChars="0"/>
        <w:outlineLvl w:val="1"/>
        <w:rPr>
          <w:rStyle w:val="19"/>
          <w:rFonts w:ascii="黑体" w:hAnsi="黑体" w:eastAsia="黑体"/>
          <w:b w:val="0"/>
        </w:rPr>
      </w:pPr>
      <w:bookmarkStart w:id="36" w:name="_Toc15377205"/>
      <w:bookmarkStart w:id="37" w:name="_Toc15396603"/>
      <w:bookmarkStart w:id="38" w:name="_Toc21011"/>
      <w:r>
        <w:rPr>
          <w:rFonts w:hint="eastAsia" w:ascii="黑体" w:hAnsi="黑体" w:eastAsia="黑体"/>
          <w:color w:val="000000"/>
          <w:sz w:val="32"/>
          <w:szCs w:val="32"/>
        </w:rPr>
        <w:t>收</w:t>
      </w:r>
      <w:r>
        <w:rPr>
          <w:rStyle w:val="19"/>
          <w:rFonts w:hint="eastAsia" w:ascii="黑体" w:hAnsi="黑体" w:eastAsia="黑体"/>
          <w:b w:val="0"/>
        </w:rPr>
        <w:t>入支出决算总体情况说明</w:t>
      </w:r>
      <w:bookmarkEnd w:id="36"/>
      <w:bookmarkEnd w:id="37"/>
      <w:bookmarkEnd w:id="38"/>
    </w:p>
    <w:p>
      <w:pPr>
        <w:ind w:firstLine="640" w:firstLineChars="200"/>
        <w:jc w:val="left"/>
      </w:pPr>
      <w:r>
        <w:rPr>
          <w:rFonts w:hint="eastAsia" w:ascii="仿宋" w:hAnsi="仿宋" w:eastAsia="仿宋"/>
          <w:color w:val="000000"/>
          <w:sz w:val="32"/>
          <w:szCs w:val="32"/>
        </w:rPr>
        <w:t>2018年度收、支总计171472.38万元，与2017年相比，收、支总计增加26931.30万元，增长18.63%。主要变动原因是事业收入增加21791.21万元。</w:t>
      </w:r>
    </w:p>
    <w:p>
      <w:r>
        <w:drawing>
          <wp:inline distT="0" distB="0" distL="0" distR="0">
            <wp:extent cx="5204460" cy="2324100"/>
            <wp:effectExtent l="19050" t="0" r="1524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8"/>
        <w:numPr>
          <w:ilvl w:val="0"/>
          <w:numId w:val="1"/>
        </w:numPr>
        <w:spacing w:line="600" w:lineRule="exact"/>
        <w:ind w:firstLineChars="0"/>
        <w:outlineLvl w:val="1"/>
        <w:rPr>
          <w:rStyle w:val="19"/>
          <w:rFonts w:ascii="黑体" w:hAnsi="黑体" w:eastAsia="黑体"/>
          <w:b w:val="0"/>
        </w:rPr>
      </w:pPr>
      <w:bookmarkStart w:id="39" w:name="_Toc15377206"/>
      <w:bookmarkStart w:id="40" w:name="_Toc2807"/>
      <w:bookmarkStart w:id="41" w:name="_Toc15396604"/>
      <w:r>
        <w:rPr>
          <w:rFonts w:hint="eastAsia" w:ascii="黑体" w:hAnsi="黑体" w:eastAsia="黑体"/>
          <w:color w:val="000000"/>
          <w:sz w:val="32"/>
          <w:szCs w:val="32"/>
        </w:rPr>
        <w:t>收</w:t>
      </w:r>
      <w:r>
        <w:rPr>
          <w:rStyle w:val="19"/>
          <w:rFonts w:hint="eastAsia" w:ascii="黑体" w:hAnsi="黑体" w:eastAsia="黑体"/>
          <w:b w:val="0"/>
        </w:rPr>
        <w:t>入决算情况说明</w:t>
      </w:r>
      <w:bookmarkEnd w:id="39"/>
      <w:bookmarkEnd w:id="40"/>
      <w:bookmarkEnd w:id="41"/>
    </w:p>
    <w:p>
      <w:pPr>
        <w:spacing w:line="600" w:lineRule="exact"/>
        <w:ind w:firstLine="640" w:firstLineChars="200"/>
        <w:outlineLvl w:val="1"/>
        <w:rPr>
          <w:rFonts w:ascii="仿宋" w:hAnsi="仿宋" w:eastAsia="仿宋"/>
          <w:color w:val="000000"/>
          <w:sz w:val="32"/>
          <w:szCs w:val="32"/>
        </w:rPr>
      </w:pPr>
      <w:bookmarkStart w:id="42" w:name="_Toc17511"/>
      <w:bookmarkStart w:id="43" w:name="_Toc12794"/>
      <w:bookmarkStart w:id="44" w:name="_Toc5075"/>
      <w:bookmarkStart w:id="45" w:name="_Toc7540"/>
      <w:bookmarkStart w:id="46" w:name="_Toc11015"/>
      <w:r>
        <w:rPr>
          <w:rFonts w:ascii="仿宋" w:hAnsi="仿宋" w:eastAsia="仿宋"/>
          <w:color w:val="000000"/>
          <w:sz w:val="32"/>
          <w:szCs w:val="32"/>
        </w:rPr>
        <w:t>20</w:t>
      </w:r>
      <w:r>
        <w:rPr>
          <w:rFonts w:hint="eastAsia" w:ascii="仿宋" w:hAnsi="仿宋" w:eastAsia="仿宋"/>
          <w:color w:val="000000"/>
          <w:sz w:val="32"/>
          <w:szCs w:val="32"/>
        </w:rPr>
        <w:t>18年本年收入合计167367.46万元，其中：财政拨款</w:t>
      </w:r>
      <w:r>
        <w:rPr>
          <w:rFonts w:hint="eastAsia" w:ascii="仿宋" w:hAnsi="仿宋" w:eastAsia="仿宋"/>
          <w:color w:val="000000"/>
          <w:sz w:val="32"/>
          <w:szCs w:val="32"/>
          <w:highlight w:val="none"/>
        </w:rPr>
        <w:t>收入3895.12万元</w:t>
      </w:r>
      <w:r>
        <w:rPr>
          <w:rFonts w:hint="eastAsia" w:ascii="仿宋" w:hAnsi="仿宋" w:eastAsia="仿宋"/>
          <w:color w:val="000000"/>
          <w:sz w:val="32"/>
          <w:szCs w:val="32"/>
        </w:rPr>
        <w:t>，占2.33</w:t>
      </w:r>
      <w:r>
        <w:rPr>
          <w:rFonts w:ascii="仿宋" w:hAnsi="仿宋" w:eastAsia="仿宋"/>
          <w:color w:val="000000"/>
          <w:sz w:val="32"/>
          <w:szCs w:val="32"/>
        </w:rPr>
        <w:t>%</w:t>
      </w:r>
      <w:r>
        <w:rPr>
          <w:rFonts w:hint="eastAsia" w:ascii="仿宋" w:hAnsi="仿宋" w:eastAsia="仿宋"/>
          <w:color w:val="000000"/>
          <w:sz w:val="32"/>
          <w:szCs w:val="32"/>
        </w:rPr>
        <w:t>；事业收入163472.34万元，占97.67</w:t>
      </w:r>
      <w:r>
        <w:rPr>
          <w:rFonts w:ascii="仿宋" w:hAnsi="仿宋" w:eastAsia="仿宋"/>
          <w:color w:val="000000"/>
          <w:sz w:val="32"/>
          <w:szCs w:val="32"/>
        </w:rPr>
        <w:t>%</w:t>
      </w:r>
      <w:r>
        <w:rPr>
          <w:rFonts w:hint="eastAsia" w:ascii="仿宋" w:hAnsi="仿宋" w:eastAsia="仿宋"/>
          <w:color w:val="000000"/>
          <w:sz w:val="32"/>
          <w:szCs w:val="32"/>
        </w:rPr>
        <w:t>。</w:t>
      </w:r>
      <w:bookmarkEnd w:id="42"/>
      <w:bookmarkEnd w:id="43"/>
      <w:bookmarkEnd w:id="44"/>
      <w:bookmarkEnd w:id="45"/>
      <w:bookmarkEnd w:id="46"/>
    </w:p>
    <w:p>
      <w:pPr>
        <w:jc w:val="center"/>
      </w:pPr>
      <w:r>
        <w:drawing>
          <wp:inline distT="0" distB="0" distL="0" distR="0">
            <wp:extent cx="4572000" cy="2255520"/>
            <wp:effectExtent l="19050" t="0" r="1905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8"/>
        <w:numPr>
          <w:ilvl w:val="0"/>
          <w:numId w:val="1"/>
        </w:numPr>
        <w:spacing w:line="600" w:lineRule="exact"/>
        <w:ind w:firstLineChars="0"/>
        <w:outlineLvl w:val="1"/>
        <w:rPr>
          <w:rStyle w:val="19"/>
          <w:rFonts w:ascii="黑体" w:hAnsi="黑体" w:eastAsia="黑体"/>
          <w:b w:val="0"/>
        </w:rPr>
      </w:pPr>
      <w:bookmarkStart w:id="47" w:name="_Toc15396605"/>
      <w:bookmarkStart w:id="48" w:name="_Toc3380"/>
      <w:bookmarkStart w:id="49" w:name="_Toc15377207"/>
      <w:r>
        <w:rPr>
          <w:rFonts w:hint="eastAsia" w:ascii="黑体" w:hAnsi="黑体" w:eastAsia="黑体"/>
          <w:color w:val="000000"/>
          <w:sz w:val="32"/>
          <w:szCs w:val="32"/>
        </w:rPr>
        <w:t>支</w:t>
      </w:r>
      <w:r>
        <w:rPr>
          <w:rStyle w:val="19"/>
          <w:rFonts w:hint="eastAsia" w:ascii="黑体" w:hAnsi="黑体" w:eastAsia="黑体"/>
          <w:b w:val="0"/>
        </w:rPr>
        <w:t>出决算情况说明</w:t>
      </w:r>
      <w:bookmarkEnd w:id="47"/>
      <w:bookmarkEnd w:id="48"/>
      <w:bookmarkEnd w:id="49"/>
    </w:p>
    <w:p>
      <w:pPr>
        <w:spacing w:line="600" w:lineRule="exact"/>
        <w:ind w:firstLine="640" w:firstLineChars="200"/>
        <w:outlineLvl w:val="1"/>
        <w:rPr>
          <w:rFonts w:ascii="仿宋" w:hAnsi="仿宋" w:eastAsia="仿宋"/>
          <w:color w:val="000000"/>
          <w:sz w:val="32"/>
          <w:szCs w:val="32"/>
        </w:rPr>
      </w:pPr>
      <w:bookmarkStart w:id="50" w:name="_Toc1991"/>
      <w:bookmarkStart w:id="51" w:name="_Toc14863"/>
      <w:bookmarkStart w:id="52" w:name="_Toc17157"/>
      <w:bookmarkStart w:id="53" w:name="_Toc22498"/>
      <w:bookmarkStart w:id="54" w:name="_Toc27709"/>
      <w:r>
        <w:rPr>
          <w:rFonts w:ascii="仿宋" w:hAnsi="仿宋" w:eastAsia="仿宋"/>
          <w:color w:val="000000"/>
          <w:sz w:val="32"/>
          <w:szCs w:val="32"/>
        </w:rPr>
        <w:t>20</w:t>
      </w:r>
      <w:r>
        <w:rPr>
          <w:rFonts w:hint="eastAsia" w:ascii="仿宋" w:hAnsi="仿宋" w:eastAsia="仿宋"/>
          <w:color w:val="000000"/>
          <w:sz w:val="32"/>
          <w:szCs w:val="32"/>
        </w:rPr>
        <w:t>18年本年支出合计154345.66 万元，其中：基本支出152006.24 万元，占98.48</w:t>
      </w:r>
      <w:r>
        <w:rPr>
          <w:rFonts w:ascii="仿宋" w:hAnsi="仿宋" w:eastAsia="仿宋"/>
          <w:color w:val="000000"/>
          <w:sz w:val="32"/>
          <w:szCs w:val="32"/>
        </w:rPr>
        <w:t>%</w:t>
      </w:r>
      <w:r>
        <w:rPr>
          <w:rFonts w:hint="eastAsia" w:ascii="仿宋" w:hAnsi="仿宋" w:eastAsia="仿宋"/>
          <w:color w:val="000000"/>
          <w:sz w:val="32"/>
          <w:szCs w:val="32"/>
        </w:rPr>
        <w:t>；项目支出2339.42万元，占1.52</w:t>
      </w:r>
      <w:r>
        <w:rPr>
          <w:rFonts w:ascii="仿宋" w:hAnsi="仿宋" w:eastAsia="仿宋"/>
          <w:color w:val="000000"/>
          <w:sz w:val="32"/>
          <w:szCs w:val="32"/>
        </w:rPr>
        <w:t>%</w:t>
      </w:r>
      <w:r>
        <w:rPr>
          <w:rFonts w:hint="eastAsia" w:ascii="仿宋" w:hAnsi="仿宋" w:eastAsia="仿宋"/>
          <w:color w:val="000000"/>
          <w:sz w:val="32"/>
          <w:szCs w:val="32"/>
        </w:rPr>
        <w:t>。</w:t>
      </w:r>
      <w:bookmarkEnd w:id="50"/>
      <w:bookmarkEnd w:id="51"/>
      <w:bookmarkEnd w:id="52"/>
      <w:bookmarkEnd w:id="53"/>
      <w:bookmarkEnd w:id="54"/>
    </w:p>
    <w:p>
      <w:pPr>
        <w:ind w:firstLine="420" w:firstLineChars="200"/>
        <w:jc w:val="left"/>
      </w:pPr>
      <w:r>
        <w:drawing>
          <wp:inline distT="0" distB="0" distL="0" distR="0">
            <wp:extent cx="4572000" cy="2743200"/>
            <wp:effectExtent l="19050" t="0" r="19050"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19"/>
          <w:rFonts w:ascii="黑体" w:hAnsi="黑体" w:eastAsia="黑体"/>
          <w:b w:val="0"/>
        </w:rPr>
      </w:pPr>
      <w:bookmarkStart w:id="55" w:name="_Toc15396606"/>
      <w:bookmarkStart w:id="56" w:name="_Toc15377208"/>
      <w:bookmarkStart w:id="57" w:name="_Toc6268"/>
      <w:r>
        <w:rPr>
          <w:rFonts w:hint="eastAsia" w:ascii="黑体" w:hAnsi="黑体" w:eastAsia="黑体"/>
          <w:color w:val="000000"/>
          <w:sz w:val="32"/>
          <w:szCs w:val="32"/>
        </w:rPr>
        <w:t>四、财</w:t>
      </w:r>
      <w:r>
        <w:rPr>
          <w:rStyle w:val="19"/>
          <w:rFonts w:hint="eastAsia" w:ascii="黑体" w:hAnsi="黑体" w:eastAsia="黑体"/>
          <w:b w:val="0"/>
        </w:rPr>
        <w:t>政拨款收入支出决算总体情况说明</w:t>
      </w:r>
      <w:bookmarkEnd w:id="55"/>
      <w:bookmarkEnd w:id="56"/>
      <w:bookmarkEnd w:id="5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18</w:t>
      </w:r>
      <w:r>
        <w:rPr>
          <w:rFonts w:hint="eastAsia" w:ascii="仿宋" w:hAnsi="仿宋" w:eastAsia="仿宋"/>
          <w:color w:val="000000"/>
          <w:sz w:val="32"/>
          <w:szCs w:val="32"/>
          <w:highlight w:val="none"/>
        </w:rPr>
        <w:t>年财政拨款收、支总计7943.99万元</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7年相比，财政拨款收、支总计增加1271.95万元，增长19.06</w:t>
      </w:r>
      <w:r>
        <w:rPr>
          <w:rFonts w:ascii="仿宋" w:hAnsi="仿宋" w:eastAsia="仿宋"/>
          <w:color w:val="000000"/>
          <w:sz w:val="32"/>
          <w:szCs w:val="32"/>
        </w:rPr>
        <w:t>%</w:t>
      </w:r>
      <w:r>
        <w:rPr>
          <w:rFonts w:hint="eastAsia" w:ascii="仿宋" w:hAnsi="仿宋" w:eastAsia="仿宋"/>
          <w:color w:val="000000"/>
          <w:sz w:val="32"/>
          <w:szCs w:val="32"/>
        </w:rPr>
        <w:t>，主要变动原因项目支出增加影响。</w:t>
      </w:r>
    </w:p>
    <w:p>
      <w:pPr>
        <w:jc w:val="center"/>
      </w:pPr>
      <w:r>
        <w:drawing>
          <wp:inline distT="0" distB="0" distL="0" distR="0">
            <wp:extent cx="4572000" cy="2743200"/>
            <wp:effectExtent l="19050" t="0" r="19050" b="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pPr>
    </w:p>
    <w:p>
      <w:pPr>
        <w:spacing w:line="600" w:lineRule="exact"/>
        <w:ind w:firstLine="640" w:firstLineChars="200"/>
        <w:outlineLvl w:val="1"/>
        <w:rPr>
          <w:rStyle w:val="19"/>
          <w:rFonts w:ascii="黑体" w:hAnsi="黑体" w:eastAsia="黑体"/>
          <w:b w:val="0"/>
        </w:rPr>
      </w:pPr>
      <w:bookmarkStart w:id="58" w:name="_Toc31520"/>
      <w:bookmarkStart w:id="59" w:name="_Toc15396607"/>
      <w:bookmarkStart w:id="60"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58"/>
      <w:bookmarkEnd w:id="59"/>
      <w:bookmarkEnd w:id="60"/>
    </w:p>
    <w:p>
      <w:pPr>
        <w:spacing w:line="600" w:lineRule="exact"/>
        <w:ind w:firstLine="642" w:firstLineChars="200"/>
        <w:outlineLvl w:val="2"/>
        <w:rPr>
          <w:rFonts w:ascii="仿宋" w:hAnsi="仿宋" w:eastAsia="仿宋"/>
          <w:b/>
          <w:color w:val="000000"/>
          <w:sz w:val="32"/>
          <w:szCs w:val="32"/>
        </w:rPr>
      </w:pPr>
      <w:bookmarkStart w:id="61" w:name="_Toc4799"/>
      <w:bookmarkStart w:id="62" w:name="_Toc15377210"/>
      <w:r>
        <w:rPr>
          <w:rFonts w:hint="eastAsia" w:ascii="仿宋" w:hAnsi="仿宋" w:eastAsia="仿宋"/>
          <w:b/>
          <w:color w:val="000000"/>
          <w:sz w:val="32"/>
          <w:szCs w:val="32"/>
        </w:rPr>
        <w:t>（一）一般公共预算财政拨款支出决算总体情况</w:t>
      </w:r>
      <w:bookmarkEnd w:id="61"/>
      <w:bookmarkEnd w:id="6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18年一般公共预算财政拨</w:t>
      </w:r>
      <w:r>
        <w:rPr>
          <w:rFonts w:hint="eastAsia" w:ascii="仿宋" w:hAnsi="仿宋" w:eastAsia="仿宋"/>
          <w:color w:val="000000"/>
          <w:sz w:val="32"/>
          <w:szCs w:val="32"/>
          <w:highlight w:val="none"/>
        </w:rPr>
        <w:t>款支出3767.54 万元</w:t>
      </w:r>
      <w:r>
        <w:rPr>
          <w:rFonts w:hint="eastAsia" w:ascii="仿宋" w:hAnsi="仿宋" w:eastAsia="仿宋"/>
          <w:color w:val="000000"/>
          <w:sz w:val="32"/>
          <w:szCs w:val="32"/>
        </w:rPr>
        <w:t>，占本年支出合计的2.44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17年相比，一般公共预算财政拨款支出增加1144.37万元，增长46.63</w:t>
      </w:r>
      <w:r>
        <w:rPr>
          <w:rFonts w:ascii="仿宋" w:hAnsi="仿宋" w:eastAsia="仿宋"/>
          <w:color w:val="000000"/>
          <w:sz w:val="32"/>
          <w:szCs w:val="32"/>
        </w:rPr>
        <w:t>%</w:t>
      </w:r>
      <w:r>
        <w:rPr>
          <w:rFonts w:hint="eastAsia" w:ascii="仿宋" w:hAnsi="仿宋" w:eastAsia="仿宋"/>
          <w:color w:val="000000"/>
          <w:sz w:val="32"/>
          <w:szCs w:val="32"/>
        </w:rPr>
        <w:t>，主要变动原因是科学技术支出增加504.38万元，医疗卫生与计划生育支出增加422.28万元。</w:t>
      </w:r>
    </w:p>
    <w:p>
      <w:pPr>
        <w:jc w:val="center"/>
      </w:pPr>
      <w:r>
        <w:drawing>
          <wp:inline distT="0" distB="0" distL="0" distR="0">
            <wp:extent cx="4572000" cy="2278380"/>
            <wp:effectExtent l="19050" t="0" r="19050" b="7620"/>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2" w:firstLineChars="200"/>
        <w:outlineLvl w:val="2"/>
        <w:rPr>
          <w:rFonts w:ascii="仿宋" w:hAnsi="仿宋" w:eastAsia="仿宋"/>
          <w:b/>
          <w:color w:val="000000"/>
          <w:sz w:val="32"/>
          <w:szCs w:val="32"/>
        </w:rPr>
      </w:pPr>
      <w:bookmarkStart w:id="63" w:name="_Toc27697"/>
      <w:bookmarkStart w:id="64" w:name="_Toc15377211"/>
      <w:r>
        <w:rPr>
          <w:rFonts w:hint="eastAsia" w:ascii="仿宋" w:hAnsi="仿宋" w:eastAsia="仿宋"/>
          <w:b/>
          <w:color w:val="000000"/>
          <w:sz w:val="32"/>
          <w:szCs w:val="32"/>
        </w:rPr>
        <w:t>（二）一般公共预算财政拨款支出决算结构情况</w:t>
      </w:r>
      <w:bookmarkEnd w:id="63"/>
      <w:bookmarkEnd w:id="64"/>
    </w:p>
    <w:p>
      <w:pPr>
        <w:spacing w:line="600" w:lineRule="exact"/>
        <w:ind w:firstLine="640"/>
        <w:rPr>
          <w:rFonts w:ascii="仿宋" w:hAnsi="仿宋" w:eastAsia="仿宋"/>
          <w:b/>
          <w:bCs/>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18年一般公共预算财政拨</w:t>
      </w:r>
      <w:r>
        <w:rPr>
          <w:rFonts w:hint="eastAsia" w:ascii="仿宋" w:hAnsi="仿宋" w:eastAsia="仿宋"/>
          <w:color w:val="000000"/>
          <w:sz w:val="32"/>
          <w:szCs w:val="32"/>
          <w:highlight w:val="none"/>
        </w:rPr>
        <w:t>款支出3767.54万元，主</w:t>
      </w:r>
      <w:r>
        <w:rPr>
          <w:rFonts w:hint="eastAsia" w:ascii="仿宋" w:hAnsi="仿宋" w:eastAsia="仿宋"/>
          <w:color w:val="000000"/>
          <w:sz w:val="32"/>
          <w:szCs w:val="32"/>
        </w:rPr>
        <w:t>要用于以下方面</w:t>
      </w:r>
      <w:r>
        <w:rPr>
          <w:rFonts w:ascii="仿宋" w:hAnsi="仿宋" w:eastAsia="仿宋"/>
          <w:color w:val="000000"/>
          <w:sz w:val="32"/>
          <w:szCs w:val="32"/>
        </w:rPr>
        <w:t>:</w:t>
      </w:r>
      <w:r>
        <w:rPr>
          <w:rFonts w:hint="eastAsia" w:ascii="仿宋" w:hAnsi="仿宋" w:eastAsia="仿宋"/>
          <w:b/>
          <w:color w:val="000000"/>
          <w:sz w:val="32"/>
          <w:szCs w:val="32"/>
        </w:rPr>
        <w:t>科学技术</w:t>
      </w:r>
      <w:r>
        <w:rPr>
          <w:rFonts w:hint="eastAsia" w:ascii="仿宋" w:hAnsi="仿宋" w:eastAsia="仿宋"/>
          <w:b/>
          <w:bCs/>
          <w:color w:val="000000"/>
          <w:sz w:val="32"/>
          <w:szCs w:val="32"/>
        </w:rPr>
        <w:t>支出</w:t>
      </w:r>
      <w:r>
        <w:rPr>
          <w:rFonts w:hint="eastAsia" w:ascii="仿宋" w:hAnsi="仿宋" w:eastAsia="仿宋"/>
          <w:b/>
          <w:color w:val="000000"/>
          <w:sz w:val="32"/>
          <w:szCs w:val="32"/>
        </w:rPr>
        <w:t>（类）</w:t>
      </w:r>
      <w:r>
        <w:rPr>
          <w:rFonts w:hint="eastAsia" w:ascii="仿宋" w:hAnsi="仿宋" w:eastAsia="仿宋"/>
          <w:color w:val="000000"/>
          <w:sz w:val="32"/>
          <w:szCs w:val="32"/>
        </w:rPr>
        <w:t>504.38万元，占13.39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社会保障和就业支出（类）</w:t>
      </w:r>
      <w:r>
        <w:rPr>
          <w:rFonts w:hint="eastAsia" w:ascii="仿宋" w:hAnsi="仿宋" w:eastAsia="仿宋"/>
          <w:color w:val="000000"/>
          <w:sz w:val="32"/>
          <w:szCs w:val="32"/>
        </w:rPr>
        <w:t>0.93万元，占0.02%；</w:t>
      </w:r>
      <w:r>
        <w:rPr>
          <w:rFonts w:hint="eastAsia" w:ascii="仿宋" w:hAnsi="仿宋" w:eastAsia="仿宋"/>
          <w:b/>
          <w:bCs/>
          <w:color w:val="000000"/>
          <w:sz w:val="32"/>
          <w:szCs w:val="32"/>
        </w:rPr>
        <w:t>医疗卫生与计划生育支出（类）</w:t>
      </w:r>
      <w:r>
        <w:rPr>
          <w:rFonts w:hint="eastAsia" w:ascii="仿宋" w:hAnsi="仿宋" w:eastAsia="仿宋"/>
          <w:color w:val="000000"/>
          <w:sz w:val="32"/>
          <w:szCs w:val="32"/>
        </w:rPr>
        <w:t>3262.23万元，占86.59</w:t>
      </w:r>
      <w:r>
        <w:rPr>
          <w:rFonts w:ascii="仿宋" w:hAnsi="仿宋" w:eastAsia="仿宋"/>
          <w:color w:val="000000"/>
          <w:sz w:val="32"/>
          <w:szCs w:val="32"/>
        </w:rPr>
        <w:t>%</w:t>
      </w:r>
      <w:r>
        <w:rPr>
          <w:rFonts w:hint="eastAsia" w:ascii="仿宋" w:hAnsi="仿宋" w:eastAsia="仿宋"/>
          <w:color w:val="000000"/>
          <w:sz w:val="32"/>
          <w:szCs w:val="32"/>
        </w:rPr>
        <w:t>。</w:t>
      </w:r>
    </w:p>
    <w:p>
      <w:pPr>
        <w:jc w:val="center"/>
      </w:pPr>
      <w:r>
        <w:drawing>
          <wp:inline distT="0" distB="0" distL="0" distR="0">
            <wp:extent cx="4572000" cy="1965960"/>
            <wp:effectExtent l="19050" t="0" r="19050" b="0"/>
            <wp:docPr id="1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color w:val="000000"/>
          <w:sz w:val="32"/>
          <w:szCs w:val="32"/>
        </w:rPr>
      </w:pPr>
      <w:bookmarkStart w:id="65" w:name="_Toc15377212"/>
      <w:bookmarkStart w:id="66" w:name="_Toc8732"/>
      <w:r>
        <w:rPr>
          <w:rFonts w:hint="eastAsia" w:ascii="仿宋" w:hAnsi="仿宋" w:eastAsia="仿宋"/>
          <w:b/>
          <w:color w:val="000000"/>
          <w:sz w:val="32"/>
          <w:szCs w:val="32"/>
        </w:rPr>
        <w:t>（三）一般公共预算财政拨款支出决算具体情况</w:t>
      </w:r>
      <w:bookmarkEnd w:id="65"/>
      <w:bookmarkEnd w:id="66"/>
    </w:p>
    <w:p>
      <w:pPr>
        <w:ind w:firstLine="640" w:firstLineChars="200"/>
        <w:rPr>
          <w:rFonts w:ascii="仿宋" w:hAnsi="仿宋" w:eastAsia="仿宋"/>
          <w:color w:val="000000"/>
          <w:sz w:val="32"/>
          <w:szCs w:val="32"/>
        </w:rPr>
      </w:pPr>
      <w:bookmarkStart w:id="67" w:name="_Toc15377213"/>
      <w:bookmarkStart w:id="68" w:name="_Toc15378460"/>
      <w:bookmarkStart w:id="69" w:name="_Toc15377444"/>
      <w:r>
        <w:rPr>
          <w:rFonts w:hint="eastAsia" w:ascii="仿宋" w:hAnsi="仿宋" w:eastAsia="仿宋"/>
          <w:color w:val="000000"/>
          <w:sz w:val="32"/>
          <w:szCs w:val="32"/>
        </w:rPr>
        <w:t>2018年一般公共预算支出决算数为3767.54万元，完成预算100%。其中：</w:t>
      </w:r>
      <w:bookmarkEnd w:id="67"/>
      <w:bookmarkEnd w:id="68"/>
      <w:bookmarkEnd w:id="69"/>
    </w:p>
    <w:p>
      <w:pPr>
        <w:spacing w:line="600" w:lineRule="exact"/>
        <w:ind w:firstLine="642" w:firstLineChars="200"/>
        <w:rPr>
          <w:rStyle w:val="14"/>
          <w:rFonts w:ascii="仿宋" w:hAnsi="仿宋" w:eastAsia="仿宋"/>
          <w:b w:val="0"/>
          <w:bCs/>
          <w:sz w:val="32"/>
          <w:szCs w:val="32"/>
        </w:rPr>
      </w:pPr>
      <w:r>
        <w:rPr>
          <w:rStyle w:val="14"/>
          <w:rFonts w:hint="eastAsia" w:ascii="仿宋" w:hAnsi="仿宋" w:eastAsia="仿宋"/>
          <w:bCs/>
          <w:sz w:val="32"/>
          <w:szCs w:val="32"/>
        </w:rPr>
        <w:t>1.科学技术（类）应用研究项目（款）社会公益研究（项）</w:t>
      </w:r>
      <w:r>
        <w:rPr>
          <w:rStyle w:val="14"/>
          <w:rFonts w:ascii="仿宋" w:hAnsi="仿宋" w:eastAsia="仿宋"/>
          <w:bCs/>
          <w:sz w:val="32"/>
          <w:szCs w:val="32"/>
        </w:rPr>
        <w:t>:</w:t>
      </w:r>
      <w:r>
        <w:rPr>
          <w:rStyle w:val="14"/>
          <w:rFonts w:hint="eastAsia" w:ascii="仿宋" w:hAnsi="仿宋" w:eastAsia="仿宋"/>
          <w:b w:val="0"/>
          <w:bCs/>
          <w:sz w:val="32"/>
          <w:szCs w:val="32"/>
        </w:rPr>
        <w:t>支出决算为0.16万元，完成预算100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rPr>
        <w:t>2.科学技术（类）技术研究与开发（款）应用技术研究与开发（项）</w:t>
      </w:r>
      <w:r>
        <w:rPr>
          <w:rStyle w:val="14"/>
          <w:rFonts w:ascii="仿宋" w:hAnsi="仿宋" w:eastAsia="仿宋"/>
          <w:bCs/>
          <w:sz w:val="32"/>
          <w:szCs w:val="32"/>
        </w:rPr>
        <w:t>:</w:t>
      </w:r>
      <w:r>
        <w:rPr>
          <w:rStyle w:val="14"/>
          <w:rFonts w:hint="eastAsia" w:ascii="仿宋" w:hAnsi="仿宋" w:eastAsia="仿宋"/>
          <w:b w:val="0"/>
          <w:bCs/>
          <w:sz w:val="32"/>
          <w:szCs w:val="32"/>
        </w:rPr>
        <w:t>支出决算为3.16万元，完成预算100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rPr>
        <w:t>3.科学技术（类）科技重大项目（款）科技重大专项（项）</w:t>
      </w:r>
      <w:r>
        <w:rPr>
          <w:rStyle w:val="14"/>
          <w:rFonts w:ascii="仿宋" w:hAnsi="仿宋" w:eastAsia="仿宋"/>
          <w:bCs/>
          <w:sz w:val="32"/>
          <w:szCs w:val="32"/>
        </w:rPr>
        <w:t>:</w:t>
      </w:r>
      <w:r>
        <w:rPr>
          <w:rStyle w:val="14"/>
          <w:rFonts w:hint="eastAsia" w:ascii="仿宋" w:hAnsi="仿宋" w:eastAsia="仿宋"/>
          <w:b w:val="0"/>
          <w:bCs/>
          <w:sz w:val="32"/>
          <w:szCs w:val="32"/>
        </w:rPr>
        <w:t>支出决算为500万元，完成预算100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cs="Times New Roman"/>
          <w:bCs/>
          <w:sz w:val="32"/>
          <w:szCs w:val="32"/>
        </w:rPr>
      </w:pPr>
      <w:r>
        <w:rPr>
          <w:rStyle w:val="14"/>
          <w:rFonts w:hint="eastAsia" w:ascii="仿宋" w:hAnsi="仿宋" w:eastAsia="仿宋"/>
          <w:bCs/>
          <w:sz w:val="32"/>
          <w:szCs w:val="32"/>
        </w:rPr>
        <w:t>4.科学技术（类）科技重大项目（款）重点研发计划（项）</w:t>
      </w:r>
      <w:r>
        <w:rPr>
          <w:rStyle w:val="14"/>
          <w:rFonts w:ascii="仿宋" w:hAnsi="仿宋" w:eastAsia="仿宋"/>
          <w:bCs/>
          <w:sz w:val="32"/>
          <w:szCs w:val="32"/>
        </w:rPr>
        <w:t>:</w:t>
      </w:r>
      <w:r>
        <w:rPr>
          <w:rStyle w:val="14"/>
          <w:rFonts w:hint="eastAsia" w:ascii="仿宋" w:hAnsi="仿宋" w:eastAsia="仿宋"/>
          <w:b w:val="0"/>
          <w:bCs/>
          <w:sz w:val="32"/>
          <w:szCs w:val="32"/>
        </w:rPr>
        <w:t>支出决算为1.05万元，完成预算100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4"/>
          <w:rFonts w:hint="eastAsia" w:ascii="仿宋" w:hAnsi="仿宋" w:eastAsia="仿宋"/>
          <w:bCs/>
          <w:sz w:val="32"/>
          <w:szCs w:val="32"/>
        </w:rPr>
        <w:t>5</w:t>
      </w:r>
      <w:r>
        <w:rPr>
          <w:rStyle w:val="14"/>
          <w:rFonts w:ascii="仿宋" w:hAnsi="仿宋" w:eastAsia="仿宋"/>
          <w:bCs/>
          <w:sz w:val="32"/>
          <w:szCs w:val="32"/>
        </w:rPr>
        <w:t>.</w:t>
      </w:r>
      <w:r>
        <w:rPr>
          <w:rStyle w:val="14"/>
          <w:rFonts w:hint="eastAsia" w:ascii="仿宋" w:hAnsi="仿宋" w:eastAsia="仿宋"/>
          <w:bCs/>
          <w:sz w:val="32"/>
          <w:szCs w:val="32"/>
        </w:rPr>
        <w:t>社会保障和就业支出（类）残疾人事业（款）残疾人康复（项）</w:t>
      </w:r>
      <w:r>
        <w:rPr>
          <w:rStyle w:val="14"/>
          <w:rFonts w:ascii="仿宋" w:hAnsi="仿宋" w:eastAsia="仿宋"/>
          <w:bCs/>
          <w:sz w:val="32"/>
          <w:szCs w:val="32"/>
        </w:rPr>
        <w:t>:</w:t>
      </w:r>
      <w:r>
        <w:rPr>
          <w:rStyle w:val="14"/>
          <w:rFonts w:hint="eastAsia" w:ascii="仿宋" w:hAnsi="仿宋" w:eastAsia="仿宋"/>
          <w:b w:val="0"/>
          <w:bCs/>
          <w:sz w:val="32"/>
          <w:szCs w:val="32"/>
        </w:rPr>
        <w:t>支出决算为0.93万元，完成预算100%。</w:t>
      </w:r>
    </w:p>
    <w:p>
      <w:pPr>
        <w:spacing w:line="600" w:lineRule="exact"/>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rPr>
        <w:t>6</w:t>
      </w:r>
      <w:r>
        <w:rPr>
          <w:rStyle w:val="14"/>
          <w:rFonts w:ascii="仿宋" w:hAnsi="仿宋" w:eastAsia="仿宋"/>
          <w:bCs/>
          <w:sz w:val="32"/>
          <w:szCs w:val="32"/>
        </w:rPr>
        <w:t>.</w:t>
      </w:r>
      <w:r>
        <w:rPr>
          <w:rFonts w:hint="eastAsia" w:ascii="仿宋" w:hAnsi="仿宋" w:eastAsia="仿宋"/>
          <w:b/>
          <w:bCs/>
          <w:sz w:val="32"/>
          <w:szCs w:val="32"/>
        </w:rPr>
        <w:t>医疗卫生与计划生育</w:t>
      </w:r>
      <w:r>
        <w:rPr>
          <w:rStyle w:val="14"/>
          <w:rFonts w:hint="eastAsia" w:ascii="仿宋" w:hAnsi="仿宋" w:eastAsia="仿宋"/>
          <w:bCs/>
          <w:sz w:val="32"/>
          <w:szCs w:val="32"/>
        </w:rPr>
        <w:t>支出（类）公立医院（款）综合医院（项）</w:t>
      </w:r>
      <w:r>
        <w:rPr>
          <w:rStyle w:val="14"/>
          <w:rFonts w:ascii="仿宋" w:hAnsi="仿宋" w:eastAsia="仿宋"/>
          <w:bCs/>
          <w:sz w:val="32"/>
          <w:szCs w:val="32"/>
        </w:rPr>
        <w:t>:</w:t>
      </w:r>
      <w:r>
        <w:rPr>
          <w:rStyle w:val="14"/>
          <w:rFonts w:hint="eastAsia" w:ascii="仿宋" w:hAnsi="仿宋" w:eastAsia="仿宋"/>
          <w:b w:val="0"/>
          <w:bCs/>
          <w:sz w:val="32"/>
          <w:szCs w:val="32"/>
        </w:rPr>
        <w:t>支出决算为539.46万元，完成预算100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cs="Times New Roman"/>
          <w:bCs/>
          <w:sz w:val="32"/>
          <w:szCs w:val="32"/>
        </w:rPr>
      </w:pPr>
      <w:r>
        <w:rPr>
          <w:rStyle w:val="14"/>
          <w:rFonts w:hint="eastAsia" w:ascii="仿宋" w:hAnsi="仿宋" w:eastAsia="仿宋"/>
          <w:bCs/>
          <w:sz w:val="32"/>
          <w:szCs w:val="32"/>
        </w:rPr>
        <w:t>7</w:t>
      </w:r>
      <w:r>
        <w:rPr>
          <w:rStyle w:val="14"/>
          <w:rFonts w:ascii="仿宋" w:hAnsi="仿宋" w:eastAsia="仿宋"/>
          <w:bCs/>
          <w:sz w:val="32"/>
          <w:szCs w:val="32"/>
        </w:rPr>
        <w:t>.</w:t>
      </w:r>
      <w:r>
        <w:rPr>
          <w:rFonts w:hint="eastAsia" w:ascii="仿宋" w:hAnsi="仿宋" w:eastAsia="仿宋"/>
          <w:b/>
          <w:bCs/>
          <w:sz w:val="32"/>
          <w:szCs w:val="32"/>
        </w:rPr>
        <w:t>医疗卫生与计划生育</w:t>
      </w:r>
      <w:r>
        <w:rPr>
          <w:rStyle w:val="14"/>
          <w:rFonts w:hint="eastAsia" w:ascii="仿宋" w:hAnsi="仿宋" w:eastAsia="仿宋"/>
          <w:bCs/>
          <w:sz w:val="32"/>
          <w:szCs w:val="32"/>
        </w:rPr>
        <w:t>支出（类）公立医院（款）其他公立医院支出（项）</w:t>
      </w:r>
      <w:r>
        <w:rPr>
          <w:rStyle w:val="14"/>
          <w:rFonts w:ascii="仿宋" w:hAnsi="仿宋" w:eastAsia="仿宋"/>
          <w:bCs/>
          <w:sz w:val="32"/>
          <w:szCs w:val="32"/>
        </w:rPr>
        <w:t>:</w:t>
      </w:r>
      <w:r>
        <w:rPr>
          <w:rStyle w:val="14"/>
          <w:rFonts w:hint="eastAsia" w:ascii="仿宋" w:hAnsi="仿宋" w:eastAsia="仿宋"/>
          <w:b w:val="0"/>
          <w:bCs/>
          <w:sz w:val="32"/>
          <w:szCs w:val="32"/>
        </w:rPr>
        <w:t>支出决算为902.26万元，完成预算100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Style w:val="14"/>
          <w:rFonts w:ascii="仿宋" w:hAnsi="仿宋" w:eastAsia="仿宋"/>
          <w:b w:val="0"/>
          <w:bCs/>
          <w:sz w:val="32"/>
          <w:szCs w:val="32"/>
        </w:rPr>
      </w:pPr>
      <w:r>
        <w:rPr>
          <w:rStyle w:val="14"/>
          <w:rFonts w:hint="eastAsia" w:ascii="仿宋" w:hAnsi="仿宋" w:eastAsia="仿宋"/>
          <w:bCs/>
          <w:sz w:val="32"/>
          <w:szCs w:val="32"/>
        </w:rPr>
        <w:t>8</w:t>
      </w:r>
      <w:r>
        <w:rPr>
          <w:rStyle w:val="14"/>
          <w:rFonts w:ascii="仿宋" w:hAnsi="仿宋" w:eastAsia="仿宋"/>
          <w:bCs/>
          <w:sz w:val="32"/>
          <w:szCs w:val="32"/>
        </w:rPr>
        <w:t>.</w:t>
      </w:r>
      <w:r>
        <w:rPr>
          <w:rFonts w:hint="eastAsia" w:ascii="仿宋" w:hAnsi="仿宋" w:eastAsia="仿宋"/>
          <w:b/>
          <w:bCs/>
          <w:sz w:val="32"/>
          <w:szCs w:val="32"/>
        </w:rPr>
        <w:t xml:space="preserve"> 医疗卫生与计划生育</w:t>
      </w:r>
      <w:r>
        <w:rPr>
          <w:rStyle w:val="14"/>
          <w:rFonts w:hint="eastAsia" w:ascii="仿宋" w:hAnsi="仿宋" w:eastAsia="仿宋"/>
          <w:bCs/>
          <w:sz w:val="32"/>
          <w:szCs w:val="32"/>
        </w:rPr>
        <w:t>支出（类）公共卫生（款）重大公共卫生专项（项）</w:t>
      </w:r>
      <w:r>
        <w:rPr>
          <w:rStyle w:val="14"/>
          <w:rFonts w:ascii="仿宋" w:hAnsi="仿宋" w:eastAsia="仿宋"/>
          <w:bCs/>
          <w:sz w:val="32"/>
          <w:szCs w:val="32"/>
        </w:rPr>
        <w:t>:</w:t>
      </w:r>
      <w:r>
        <w:rPr>
          <w:rStyle w:val="14"/>
          <w:rFonts w:hint="eastAsia" w:ascii="仿宋" w:hAnsi="仿宋" w:eastAsia="仿宋"/>
          <w:b w:val="0"/>
          <w:bCs/>
          <w:sz w:val="32"/>
          <w:szCs w:val="32"/>
        </w:rPr>
        <w:t>支出决算为194.28万元，完成预算100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Style w:val="14"/>
          <w:rFonts w:ascii="仿宋" w:hAnsi="仿宋" w:eastAsia="仿宋"/>
          <w:b w:val="0"/>
          <w:bCs/>
          <w:sz w:val="32"/>
          <w:szCs w:val="32"/>
        </w:rPr>
      </w:pPr>
      <w:r>
        <w:rPr>
          <w:rStyle w:val="14"/>
          <w:rFonts w:hint="eastAsia" w:ascii="仿宋" w:hAnsi="仿宋" w:eastAsia="仿宋"/>
          <w:bCs/>
          <w:sz w:val="32"/>
          <w:szCs w:val="32"/>
        </w:rPr>
        <w:t>9</w:t>
      </w:r>
      <w:r>
        <w:rPr>
          <w:rStyle w:val="14"/>
          <w:rFonts w:ascii="仿宋" w:hAnsi="仿宋" w:eastAsia="仿宋"/>
          <w:bCs/>
          <w:sz w:val="32"/>
          <w:szCs w:val="32"/>
        </w:rPr>
        <w:t>.</w:t>
      </w:r>
      <w:r>
        <w:rPr>
          <w:rFonts w:hint="eastAsia" w:ascii="仿宋" w:hAnsi="仿宋" w:eastAsia="仿宋"/>
          <w:b/>
          <w:bCs/>
          <w:sz w:val="32"/>
          <w:szCs w:val="32"/>
        </w:rPr>
        <w:t xml:space="preserve"> 医疗卫生与计划生育</w:t>
      </w:r>
      <w:r>
        <w:rPr>
          <w:rStyle w:val="14"/>
          <w:rFonts w:hint="eastAsia" w:ascii="仿宋" w:hAnsi="仿宋" w:eastAsia="仿宋"/>
          <w:bCs/>
          <w:sz w:val="32"/>
          <w:szCs w:val="32"/>
        </w:rPr>
        <w:t>支出（类）中医药（款）其他中医药支出（项）</w:t>
      </w:r>
      <w:r>
        <w:rPr>
          <w:rStyle w:val="14"/>
          <w:rFonts w:ascii="仿宋" w:hAnsi="仿宋" w:eastAsia="仿宋"/>
          <w:bCs/>
          <w:sz w:val="32"/>
          <w:szCs w:val="32"/>
        </w:rPr>
        <w:t>:</w:t>
      </w:r>
      <w:r>
        <w:rPr>
          <w:rStyle w:val="14"/>
          <w:rFonts w:hint="eastAsia" w:ascii="仿宋" w:hAnsi="仿宋" w:eastAsia="仿宋"/>
          <w:b w:val="0"/>
          <w:bCs/>
          <w:sz w:val="32"/>
          <w:szCs w:val="32"/>
        </w:rPr>
        <w:t>支出决算为0.12万元，完成预算100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Style w:val="14"/>
          <w:rFonts w:ascii="仿宋" w:hAnsi="仿宋" w:eastAsia="仿宋"/>
          <w:b w:val="0"/>
          <w:bCs/>
          <w:sz w:val="32"/>
          <w:szCs w:val="32"/>
        </w:rPr>
      </w:pPr>
      <w:r>
        <w:rPr>
          <w:rStyle w:val="14"/>
          <w:rFonts w:hint="eastAsia" w:ascii="仿宋" w:hAnsi="仿宋" w:eastAsia="仿宋"/>
          <w:bCs/>
          <w:sz w:val="32"/>
          <w:szCs w:val="32"/>
        </w:rPr>
        <w:t>10</w:t>
      </w:r>
      <w:r>
        <w:rPr>
          <w:rStyle w:val="14"/>
          <w:rFonts w:ascii="仿宋" w:hAnsi="仿宋" w:eastAsia="仿宋"/>
          <w:bCs/>
          <w:sz w:val="32"/>
          <w:szCs w:val="32"/>
        </w:rPr>
        <w:t>.</w:t>
      </w:r>
      <w:r>
        <w:rPr>
          <w:rFonts w:hint="eastAsia" w:ascii="仿宋" w:hAnsi="仿宋" w:eastAsia="仿宋"/>
          <w:b/>
          <w:bCs/>
          <w:sz w:val="32"/>
          <w:szCs w:val="32"/>
        </w:rPr>
        <w:t xml:space="preserve"> 医疗卫生与计划生育</w:t>
      </w:r>
      <w:r>
        <w:rPr>
          <w:rStyle w:val="14"/>
          <w:rFonts w:hint="eastAsia" w:ascii="仿宋" w:hAnsi="仿宋" w:eastAsia="仿宋"/>
          <w:bCs/>
          <w:sz w:val="32"/>
          <w:szCs w:val="32"/>
        </w:rPr>
        <w:t>支出（类）计划生育事务（款）其他计划生育事务支出（项）</w:t>
      </w:r>
      <w:r>
        <w:rPr>
          <w:rStyle w:val="14"/>
          <w:rFonts w:ascii="仿宋" w:hAnsi="仿宋" w:eastAsia="仿宋"/>
          <w:bCs/>
          <w:sz w:val="32"/>
          <w:szCs w:val="32"/>
        </w:rPr>
        <w:t>:</w:t>
      </w:r>
      <w:r>
        <w:rPr>
          <w:rStyle w:val="14"/>
          <w:rFonts w:hint="eastAsia" w:ascii="仿宋" w:hAnsi="仿宋" w:eastAsia="仿宋"/>
          <w:b w:val="0"/>
          <w:bCs/>
          <w:sz w:val="32"/>
          <w:szCs w:val="32"/>
        </w:rPr>
        <w:t>支出决算为3.45万元，完成预算100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Style w:val="14"/>
          <w:rFonts w:ascii="仿宋" w:hAnsi="仿宋" w:eastAsia="仿宋"/>
          <w:b w:val="0"/>
          <w:bCs/>
          <w:sz w:val="32"/>
          <w:szCs w:val="32"/>
        </w:rPr>
      </w:pPr>
      <w:r>
        <w:rPr>
          <w:rStyle w:val="14"/>
          <w:rFonts w:hint="eastAsia" w:ascii="仿宋" w:hAnsi="仿宋" w:eastAsia="仿宋"/>
          <w:bCs/>
          <w:sz w:val="32"/>
          <w:szCs w:val="32"/>
        </w:rPr>
        <w:t>11</w:t>
      </w:r>
      <w:r>
        <w:rPr>
          <w:rStyle w:val="14"/>
          <w:rFonts w:ascii="仿宋" w:hAnsi="仿宋" w:eastAsia="仿宋"/>
          <w:bCs/>
          <w:sz w:val="32"/>
          <w:szCs w:val="32"/>
        </w:rPr>
        <w:t>.</w:t>
      </w:r>
      <w:r>
        <w:rPr>
          <w:rFonts w:hint="eastAsia" w:ascii="仿宋" w:hAnsi="仿宋" w:eastAsia="仿宋"/>
          <w:b/>
          <w:bCs/>
          <w:sz w:val="32"/>
          <w:szCs w:val="32"/>
        </w:rPr>
        <w:t xml:space="preserve"> 医疗卫生与计划生育</w:t>
      </w:r>
      <w:r>
        <w:rPr>
          <w:rStyle w:val="14"/>
          <w:rFonts w:hint="eastAsia" w:ascii="仿宋" w:hAnsi="仿宋" w:eastAsia="仿宋"/>
          <w:bCs/>
          <w:sz w:val="32"/>
          <w:szCs w:val="32"/>
        </w:rPr>
        <w:t>支出（类）其他</w:t>
      </w:r>
      <w:r>
        <w:rPr>
          <w:rFonts w:hint="eastAsia" w:ascii="仿宋" w:hAnsi="仿宋" w:eastAsia="仿宋"/>
          <w:b/>
          <w:bCs/>
          <w:sz w:val="32"/>
          <w:szCs w:val="32"/>
        </w:rPr>
        <w:t>医疗卫生与计划生育支出</w:t>
      </w:r>
      <w:r>
        <w:rPr>
          <w:rStyle w:val="14"/>
          <w:rFonts w:hint="eastAsia" w:ascii="仿宋" w:hAnsi="仿宋" w:eastAsia="仿宋"/>
          <w:bCs/>
          <w:sz w:val="32"/>
          <w:szCs w:val="32"/>
        </w:rPr>
        <w:t>（款）其他</w:t>
      </w:r>
      <w:r>
        <w:rPr>
          <w:rFonts w:hint="eastAsia" w:ascii="仿宋" w:hAnsi="仿宋" w:eastAsia="仿宋"/>
          <w:b/>
          <w:bCs/>
          <w:sz w:val="32"/>
          <w:szCs w:val="32"/>
        </w:rPr>
        <w:t>医疗卫生与计划生育支出</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支出决算为1622.66万元，完成预算100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600" w:lineRule="exact"/>
        <w:ind w:firstLine="640" w:firstLineChars="200"/>
        <w:outlineLvl w:val="1"/>
        <w:rPr>
          <w:rStyle w:val="19"/>
        </w:rPr>
      </w:pPr>
      <w:bookmarkStart w:id="70" w:name="_Toc15396608"/>
      <w:bookmarkStart w:id="71" w:name="_Toc4099"/>
      <w:bookmarkStart w:id="7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rPr>
        <w:t>般公共预算财政拨款基本支出决算情况说明</w:t>
      </w:r>
      <w:bookmarkEnd w:id="70"/>
      <w:bookmarkEnd w:id="71"/>
      <w:bookmarkEnd w:id="72"/>
      <w:r>
        <w:rPr>
          <w:rStyle w:val="19"/>
          <w:rFonts w:ascii="黑体" w:hAnsi="黑体" w:eastAsia="黑体"/>
          <w:b w:val="0"/>
        </w:rPr>
        <w:tab/>
      </w:r>
    </w:p>
    <w:p>
      <w:pPr>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18年一般公共预算财政拨款基本支出1441.72万元，其中：</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人员经费539.46万元，日常公用经费902.26万元。</w:t>
      </w:r>
    </w:p>
    <w:p>
      <w:pPr>
        <w:spacing w:line="600" w:lineRule="exact"/>
        <w:ind w:firstLine="640"/>
        <w:outlineLvl w:val="1"/>
        <w:rPr>
          <w:rStyle w:val="19"/>
          <w:rFonts w:ascii="黑体" w:hAnsi="黑体" w:eastAsia="黑体"/>
          <w:b w:val="0"/>
        </w:rPr>
      </w:pPr>
      <w:bookmarkStart w:id="73" w:name="_Toc15396609"/>
      <w:bookmarkStart w:id="74" w:name="_Toc15377215"/>
      <w:bookmarkStart w:id="75" w:name="_Toc21513"/>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73"/>
      <w:bookmarkEnd w:id="74"/>
      <w:bookmarkEnd w:id="75"/>
    </w:p>
    <w:p>
      <w:pPr>
        <w:spacing w:line="600" w:lineRule="exact"/>
        <w:ind w:firstLine="640"/>
        <w:outlineLvl w:val="1"/>
        <w:rPr>
          <w:rFonts w:ascii="黑体" w:eastAsia="黑体"/>
          <w:color w:val="000000"/>
          <w:sz w:val="32"/>
          <w:szCs w:val="32"/>
        </w:rPr>
      </w:pPr>
      <w:bookmarkStart w:id="76" w:name="_Toc25131"/>
      <w:bookmarkStart w:id="77" w:name="_Toc16859"/>
      <w:bookmarkStart w:id="78" w:name="_Toc24453"/>
      <w:bookmarkStart w:id="79" w:name="_Toc17154"/>
      <w:bookmarkStart w:id="80" w:name="_Toc26808"/>
      <w:r>
        <w:rPr>
          <w:rFonts w:hint="eastAsia" w:ascii="仿宋" w:hAnsi="仿宋" w:eastAsia="仿宋"/>
          <w:color w:val="000000"/>
          <w:sz w:val="32"/>
          <w:szCs w:val="32"/>
        </w:rPr>
        <w:t>2018年“三公”经费财政决算共计0万元，主要原因是遂宁市中心医院属财政差额拨款单位，财政未对我单位“三公”经费进行预算拨款。</w:t>
      </w:r>
      <w:bookmarkEnd w:id="76"/>
      <w:bookmarkEnd w:id="77"/>
      <w:bookmarkEnd w:id="78"/>
      <w:bookmarkEnd w:id="79"/>
      <w:bookmarkEnd w:id="80"/>
    </w:p>
    <w:p>
      <w:pPr>
        <w:spacing w:line="600" w:lineRule="exact"/>
        <w:ind w:firstLine="640"/>
        <w:outlineLvl w:val="1"/>
        <w:rPr>
          <w:rStyle w:val="19"/>
          <w:rFonts w:ascii="黑体" w:hAnsi="黑体" w:eastAsia="黑体"/>
        </w:rPr>
      </w:pPr>
      <w:bookmarkStart w:id="81" w:name="_Toc10901"/>
      <w:r>
        <w:rPr>
          <w:rFonts w:hint="eastAsia" w:ascii="黑体" w:eastAsia="黑体"/>
          <w:color w:val="000000"/>
          <w:sz w:val="32"/>
          <w:szCs w:val="32"/>
        </w:rPr>
        <w:t>八、</w:t>
      </w:r>
      <w:r>
        <w:rPr>
          <w:rStyle w:val="19"/>
          <w:rFonts w:hint="eastAsia" w:ascii="黑体" w:hAnsi="黑体" w:eastAsia="黑体"/>
          <w:b w:val="0"/>
        </w:rPr>
        <w:t>政府性基金预算支出决算情况说明</w:t>
      </w:r>
      <w:bookmarkEnd w:id="8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18年政府性基金预算拨款支出0万元。</w:t>
      </w:r>
    </w:p>
    <w:p>
      <w:pPr>
        <w:spacing w:line="600" w:lineRule="exact"/>
        <w:ind w:firstLine="640" w:firstLineChars="200"/>
        <w:outlineLvl w:val="1"/>
        <w:rPr>
          <w:rStyle w:val="19"/>
          <w:rFonts w:ascii="黑体" w:hAnsi="黑体" w:eastAsia="黑体"/>
        </w:rPr>
      </w:pPr>
      <w:bookmarkStart w:id="82" w:name="_Toc7136"/>
      <w:bookmarkStart w:id="83" w:name="_Toc15396612"/>
      <w:bookmarkStart w:id="84" w:name="_Toc15377221"/>
      <w:r>
        <w:rPr>
          <w:rFonts w:hint="eastAsia" w:ascii="黑体" w:hAnsi="黑体" w:eastAsia="黑体"/>
          <w:color w:val="000000"/>
          <w:sz w:val="32"/>
          <w:szCs w:val="32"/>
        </w:rPr>
        <w:t>九</w:t>
      </w:r>
      <w:r>
        <w:rPr>
          <w:rStyle w:val="19"/>
          <w:rFonts w:hint="eastAsia" w:ascii="黑体" w:hAnsi="黑体" w:eastAsia="黑体"/>
        </w:rPr>
        <w:t>、</w:t>
      </w:r>
      <w:r>
        <w:rPr>
          <w:rStyle w:val="19"/>
          <w:rFonts w:hint="eastAsia" w:ascii="黑体" w:hAnsi="黑体" w:eastAsia="黑体"/>
          <w:b w:val="0"/>
        </w:rPr>
        <w:t>其他重要事项的情况说明</w:t>
      </w:r>
      <w:bookmarkEnd w:id="82"/>
      <w:bookmarkEnd w:id="83"/>
      <w:bookmarkEnd w:id="84"/>
    </w:p>
    <w:p>
      <w:pPr>
        <w:spacing w:line="600" w:lineRule="exact"/>
        <w:ind w:firstLine="642" w:firstLineChars="200"/>
        <w:outlineLvl w:val="2"/>
        <w:rPr>
          <w:rFonts w:ascii="仿宋" w:hAnsi="仿宋" w:eastAsia="仿宋"/>
          <w:b/>
          <w:color w:val="000000"/>
          <w:sz w:val="32"/>
          <w:szCs w:val="32"/>
        </w:rPr>
      </w:pPr>
      <w:bookmarkStart w:id="85" w:name="_Toc32709"/>
      <w:bookmarkStart w:id="86" w:name="_Toc15377222"/>
      <w:r>
        <w:rPr>
          <w:rFonts w:hint="eastAsia" w:ascii="仿宋" w:hAnsi="仿宋" w:eastAsia="仿宋"/>
          <w:b/>
          <w:color w:val="000000"/>
          <w:sz w:val="32"/>
          <w:szCs w:val="32"/>
        </w:rPr>
        <w:t>（一）机关运行经费支出情况</w:t>
      </w:r>
      <w:bookmarkEnd w:id="85"/>
      <w:bookmarkEnd w:id="86"/>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遂宁市中心医院无该项经费支出</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87" w:name="_Toc15377224"/>
      <w:bookmarkStart w:id="88" w:name="_Toc18213"/>
      <w:r>
        <w:rPr>
          <w:rFonts w:hint="eastAsia" w:ascii="仿宋" w:hAnsi="仿宋" w:eastAsia="仿宋"/>
          <w:b/>
          <w:color w:val="000000"/>
          <w:sz w:val="32"/>
          <w:szCs w:val="32"/>
        </w:rPr>
        <w:t>（二）国有资产占有使用情况</w:t>
      </w:r>
      <w:bookmarkEnd w:id="87"/>
      <w:bookmarkEnd w:id="88"/>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18年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日，遂宁市中心医院共有车辆16辆，其中：特种专业技术用车12辆、其他用车4辆，其他用车主要是用于日常工作。单价</w:t>
      </w:r>
      <w:r>
        <w:rPr>
          <w:rFonts w:ascii="仿宋_GB2312" w:eastAsia="仿宋_GB2312"/>
          <w:color w:val="000000"/>
          <w:sz w:val="32"/>
          <w:szCs w:val="32"/>
        </w:rPr>
        <w:t>50</w:t>
      </w:r>
      <w:r>
        <w:rPr>
          <w:rFonts w:hint="eastAsia" w:ascii="仿宋_GB2312" w:eastAsia="仿宋_GB2312"/>
          <w:color w:val="000000"/>
          <w:sz w:val="32"/>
          <w:szCs w:val="32"/>
        </w:rPr>
        <w:t>万元以上通用设备36台，单价</w:t>
      </w:r>
      <w:r>
        <w:rPr>
          <w:rFonts w:ascii="仿宋_GB2312" w:eastAsia="仿宋_GB2312"/>
          <w:color w:val="000000"/>
          <w:sz w:val="32"/>
          <w:szCs w:val="32"/>
        </w:rPr>
        <w:t>100</w:t>
      </w:r>
      <w:r>
        <w:rPr>
          <w:rFonts w:hint="eastAsia" w:ascii="仿宋_GB2312" w:eastAsia="仿宋_GB2312"/>
          <w:color w:val="000000"/>
          <w:sz w:val="32"/>
          <w:szCs w:val="32"/>
        </w:rPr>
        <w:t>万元以上专用设备96台。</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89" w:name="_Toc3558"/>
      <w:r>
        <w:rPr>
          <w:rFonts w:hint="eastAsia" w:ascii="仿宋" w:hAnsi="仿宋" w:eastAsia="仿宋"/>
          <w:b/>
          <w:color w:val="000000"/>
          <w:sz w:val="32"/>
          <w:szCs w:val="32"/>
        </w:rPr>
        <w:t>（三）预算绩效管理情况</w:t>
      </w:r>
      <w:bookmarkEnd w:id="89"/>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根据预算绩效管理要求，本部门对</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18年部门整体支出绩效评价情况开展自评，《遂宁市中心医院</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18年部门整体支出绩效评价报告》见附件（附件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p>
    <w:p>
      <w:pPr>
        <w:numPr>
          <w:ilvl w:val="0"/>
          <w:numId w:val="2"/>
        </w:numPr>
        <w:spacing w:line="600" w:lineRule="exact"/>
        <w:ind w:firstLine="660" w:firstLineChars="150"/>
        <w:jc w:val="center"/>
        <w:outlineLvl w:val="0"/>
        <w:rPr>
          <w:rStyle w:val="17"/>
          <w:rFonts w:ascii="黑体" w:hAnsi="黑体" w:eastAsia="黑体"/>
          <w:b w:val="0"/>
        </w:rPr>
      </w:pPr>
      <w:bookmarkStart w:id="90" w:name="_Toc15396613"/>
      <w:bookmarkStart w:id="91" w:name="_Toc18951"/>
      <w:bookmarkStart w:id="92" w:name="_Toc15377225"/>
      <w:r>
        <w:rPr>
          <w:rFonts w:hint="eastAsia" w:ascii="黑体" w:hAnsi="黑体" w:eastAsia="黑体"/>
          <w:color w:val="000000"/>
          <w:sz w:val="44"/>
          <w:szCs w:val="44"/>
        </w:rPr>
        <w:t>名</w:t>
      </w:r>
      <w:r>
        <w:rPr>
          <w:rStyle w:val="17"/>
          <w:rFonts w:hint="eastAsia" w:ascii="黑体" w:hAnsi="黑体" w:eastAsia="黑体"/>
          <w:b w:val="0"/>
        </w:rPr>
        <w:t>词解释</w:t>
      </w:r>
      <w:bookmarkEnd w:id="90"/>
      <w:bookmarkEnd w:id="91"/>
      <w:bookmarkEnd w:id="92"/>
    </w:p>
    <w:p>
      <w:pPr>
        <w:spacing w:line="600" w:lineRule="exact"/>
        <w:jc w:val="left"/>
        <w:rPr>
          <w:rFonts w:ascii="宋体"/>
          <w:b/>
          <w:color w:val="000000"/>
          <w:sz w:val="44"/>
          <w:szCs w:val="44"/>
        </w:rPr>
      </w:pPr>
    </w:p>
    <w:p>
      <w:pPr>
        <w:pStyle w:val="2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其他收入：指单位取得的除上述收入以外的各项收入。如新冠肺炎防控捐赠款等。</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科学技术（类）基础研究（款）专项基础科研（项）：指用于专项基础科研方面的支出。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10.科学技术（类）应用研究（款）社会公益研究（项）</w:t>
      </w:r>
      <w:r>
        <w:rPr>
          <w:rStyle w:val="14"/>
          <w:rFonts w:ascii="仿宋" w:hAnsi="仿宋" w:eastAsia="仿宋"/>
          <w:b w:val="0"/>
          <w:sz w:val="32"/>
          <w:szCs w:val="32"/>
        </w:rPr>
        <w:t xml:space="preserve">: </w:t>
      </w:r>
      <w:r>
        <w:rPr>
          <w:rStyle w:val="14"/>
          <w:rFonts w:hint="eastAsia" w:ascii="仿宋" w:hAnsi="仿宋" w:eastAsia="仿宋"/>
          <w:b w:val="0"/>
          <w:sz w:val="32"/>
          <w:szCs w:val="32"/>
        </w:rPr>
        <w:t>指反映从事卫生、劳动保护、计划生育、环境科学、农业等社会公益专项科研方面的支出。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11.科学技术（类）技术研究与开发（款）其他技术研究与开发支出（项）</w:t>
      </w:r>
      <w:r>
        <w:rPr>
          <w:rStyle w:val="14"/>
          <w:rFonts w:ascii="仿宋" w:hAnsi="仿宋" w:eastAsia="仿宋"/>
          <w:b w:val="0"/>
          <w:sz w:val="32"/>
          <w:szCs w:val="32"/>
        </w:rPr>
        <w:t>:</w:t>
      </w:r>
      <w:r>
        <w:rPr>
          <w:rStyle w:val="14"/>
          <w:rFonts w:hint="eastAsia" w:ascii="仿宋" w:hAnsi="仿宋" w:eastAsia="仿宋"/>
          <w:b w:val="0"/>
          <w:sz w:val="32"/>
          <w:szCs w:val="32"/>
        </w:rPr>
        <w:t>指其他用于技术研究与开发方面的支出。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12.科学技术（类）科技重大项目（款）科技重大专项（项）</w:t>
      </w:r>
      <w:r>
        <w:rPr>
          <w:rStyle w:val="14"/>
          <w:rFonts w:ascii="仿宋" w:hAnsi="仿宋" w:eastAsia="仿宋"/>
          <w:b w:val="0"/>
          <w:sz w:val="32"/>
          <w:szCs w:val="32"/>
        </w:rPr>
        <w:t xml:space="preserve">: </w:t>
      </w:r>
      <w:r>
        <w:rPr>
          <w:rStyle w:val="14"/>
          <w:rFonts w:hint="eastAsia" w:ascii="仿宋" w:hAnsi="仿宋" w:eastAsia="仿宋"/>
          <w:b w:val="0"/>
          <w:sz w:val="32"/>
          <w:szCs w:val="32"/>
        </w:rPr>
        <w:t>指用于科技重大专项的支出。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13.科学技术（类）科技重大项目（款）重点研发计划（项）</w:t>
      </w:r>
      <w:r>
        <w:rPr>
          <w:rStyle w:val="14"/>
          <w:rFonts w:ascii="仿宋" w:hAnsi="仿宋" w:eastAsia="仿宋"/>
          <w:b w:val="0"/>
          <w:sz w:val="32"/>
          <w:szCs w:val="32"/>
        </w:rPr>
        <w:t xml:space="preserve">: </w:t>
      </w:r>
      <w:r>
        <w:rPr>
          <w:rStyle w:val="14"/>
          <w:rFonts w:hint="eastAsia" w:ascii="仿宋" w:hAnsi="仿宋" w:eastAsia="仿宋"/>
          <w:b w:val="0"/>
          <w:sz w:val="32"/>
          <w:szCs w:val="32"/>
        </w:rPr>
        <w:t>指用于重点研发计划的有关经费支出。</w:t>
      </w:r>
    </w:p>
    <w:p>
      <w:pPr>
        <w:spacing w:line="600" w:lineRule="exact"/>
        <w:ind w:firstLine="640" w:firstLineChars="200"/>
        <w:rPr>
          <w:rFonts w:ascii="仿宋" w:hAnsi="仿宋" w:eastAsia="仿宋"/>
          <w:sz w:val="32"/>
          <w:szCs w:val="32"/>
        </w:rPr>
      </w:pPr>
      <w:r>
        <w:rPr>
          <w:rStyle w:val="14"/>
          <w:rFonts w:hint="eastAsia" w:ascii="仿宋" w:hAnsi="仿宋" w:eastAsia="仿宋"/>
          <w:b w:val="0"/>
          <w:sz w:val="32"/>
          <w:szCs w:val="32"/>
        </w:rPr>
        <w:t>14</w:t>
      </w:r>
      <w:r>
        <w:rPr>
          <w:rStyle w:val="14"/>
          <w:rFonts w:ascii="仿宋" w:hAnsi="仿宋" w:eastAsia="仿宋"/>
          <w:b w:val="0"/>
          <w:sz w:val="32"/>
          <w:szCs w:val="32"/>
        </w:rPr>
        <w:t>.</w:t>
      </w:r>
      <w:r>
        <w:rPr>
          <w:rStyle w:val="14"/>
          <w:rFonts w:hint="eastAsia" w:ascii="仿宋" w:hAnsi="仿宋" w:eastAsia="仿宋"/>
          <w:b w:val="0"/>
          <w:sz w:val="32"/>
          <w:szCs w:val="32"/>
        </w:rPr>
        <w:t>社会保障和就业支出（类）残疾人事业（款）残疾人康复（项）</w:t>
      </w:r>
      <w:r>
        <w:rPr>
          <w:rStyle w:val="14"/>
          <w:rFonts w:ascii="仿宋" w:hAnsi="仿宋" w:eastAsia="仿宋"/>
          <w:b w:val="0"/>
          <w:sz w:val="32"/>
          <w:szCs w:val="32"/>
        </w:rPr>
        <w:t>:</w:t>
      </w:r>
      <w:r>
        <w:rPr>
          <w:rStyle w:val="14"/>
          <w:rFonts w:hint="eastAsia" w:ascii="仿宋" w:hAnsi="仿宋" w:eastAsia="仿宋"/>
          <w:b w:val="0"/>
          <w:sz w:val="32"/>
          <w:szCs w:val="32"/>
        </w:rPr>
        <w:t>指残疾人联合会用于残疾人康复方面的支出。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15</w:t>
      </w:r>
      <w:r>
        <w:rPr>
          <w:rStyle w:val="14"/>
          <w:rFonts w:ascii="仿宋" w:hAnsi="仿宋" w:eastAsia="仿宋"/>
          <w:b w:val="0"/>
          <w:sz w:val="32"/>
          <w:szCs w:val="32"/>
        </w:rPr>
        <w:t>.</w:t>
      </w:r>
      <w:r>
        <w:rPr>
          <w:rFonts w:hint="eastAsia" w:ascii="仿宋" w:hAnsi="仿宋" w:eastAsia="仿宋"/>
          <w:sz w:val="32"/>
          <w:szCs w:val="32"/>
        </w:rPr>
        <w:t>卫生健康</w:t>
      </w:r>
      <w:r>
        <w:rPr>
          <w:rStyle w:val="14"/>
          <w:rFonts w:hint="eastAsia" w:ascii="仿宋" w:hAnsi="仿宋" w:eastAsia="仿宋"/>
          <w:b w:val="0"/>
          <w:sz w:val="32"/>
          <w:szCs w:val="32"/>
        </w:rPr>
        <w:t>支出（类）公立医院（款）综合医院（项）</w:t>
      </w:r>
      <w:r>
        <w:rPr>
          <w:rStyle w:val="14"/>
          <w:rFonts w:ascii="仿宋" w:hAnsi="仿宋" w:eastAsia="仿宋"/>
          <w:b w:val="0"/>
          <w:sz w:val="32"/>
          <w:szCs w:val="32"/>
        </w:rPr>
        <w:t>:</w:t>
      </w:r>
      <w:r>
        <w:rPr>
          <w:rStyle w:val="14"/>
          <w:rFonts w:hint="eastAsia" w:ascii="仿宋" w:hAnsi="仿宋" w:eastAsia="仿宋"/>
          <w:b w:val="0"/>
          <w:sz w:val="32"/>
          <w:szCs w:val="32"/>
        </w:rPr>
        <w:t>指卫生健康、中医部门所属的城市综合性医院、独立门诊、教学医院、疗养院和县医院的支出。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16</w:t>
      </w:r>
      <w:r>
        <w:rPr>
          <w:rStyle w:val="14"/>
          <w:rFonts w:ascii="仿宋" w:hAnsi="仿宋" w:eastAsia="仿宋"/>
          <w:b w:val="0"/>
          <w:sz w:val="32"/>
          <w:szCs w:val="32"/>
        </w:rPr>
        <w:t>.</w:t>
      </w:r>
      <w:r>
        <w:rPr>
          <w:rFonts w:hint="eastAsia" w:ascii="仿宋" w:hAnsi="仿宋" w:eastAsia="仿宋"/>
          <w:sz w:val="32"/>
          <w:szCs w:val="32"/>
        </w:rPr>
        <w:t>卫生健康</w:t>
      </w:r>
      <w:r>
        <w:rPr>
          <w:rStyle w:val="14"/>
          <w:rFonts w:hint="eastAsia" w:ascii="仿宋" w:hAnsi="仿宋" w:eastAsia="仿宋"/>
          <w:b w:val="0"/>
          <w:sz w:val="32"/>
          <w:szCs w:val="32"/>
        </w:rPr>
        <w:t>支出（类）公立医院（款）其他公立医院支出（项）</w:t>
      </w:r>
      <w:r>
        <w:rPr>
          <w:rStyle w:val="14"/>
          <w:rFonts w:ascii="仿宋" w:hAnsi="仿宋" w:eastAsia="仿宋"/>
          <w:b w:val="0"/>
          <w:sz w:val="32"/>
          <w:szCs w:val="32"/>
        </w:rPr>
        <w:t>:</w:t>
      </w:r>
      <w:r>
        <w:rPr>
          <w:rStyle w:val="14"/>
          <w:rFonts w:hint="eastAsia" w:ascii="仿宋" w:hAnsi="仿宋" w:eastAsia="仿宋"/>
          <w:b w:val="0"/>
          <w:sz w:val="32"/>
          <w:szCs w:val="32"/>
        </w:rPr>
        <w:t>指其他用于公立医院方面的支出。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17</w:t>
      </w:r>
      <w:r>
        <w:rPr>
          <w:rStyle w:val="14"/>
          <w:rFonts w:ascii="仿宋" w:hAnsi="仿宋" w:eastAsia="仿宋"/>
          <w:b w:val="0"/>
          <w:sz w:val="32"/>
          <w:szCs w:val="32"/>
        </w:rPr>
        <w:t>.</w:t>
      </w:r>
      <w:r>
        <w:rPr>
          <w:rFonts w:hint="eastAsia" w:ascii="仿宋" w:hAnsi="仿宋" w:eastAsia="仿宋"/>
          <w:sz w:val="32"/>
          <w:szCs w:val="32"/>
        </w:rPr>
        <w:t>卫生健康</w:t>
      </w:r>
      <w:r>
        <w:rPr>
          <w:rStyle w:val="14"/>
          <w:rFonts w:hint="eastAsia" w:ascii="仿宋" w:hAnsi="仿宋" w:eastAsia="仿宋"/>
          <w:b w:val="0"/>
          <w:sz w:val="32"/>
          <w:szCs w:val="32"/>
        </w:rPr>
        <w:t>支出（类）基层医疗卫生机构（款）其他基层医疗卫生机构支出（项）</w:t>
      </w:r>
      <w:r>
        <w:rPr>
          <w:rStyle w:val="14"/>
          <w:rFonts w:ascii="仿宋" w:hAnsi="仿宋" w:eastAsia="仿宋"/>
          <w:b w:val="0"/>
          <w:sz w:val="32"/>
          <w:szCs w:val="32"/>
        </w:rPr>
        <w:t>:</w:t>
      </w:r>
      <w:r>
        <w:rPr>
          <w:rStyle w:val="14"/>
          <w:rFonts w:hint="eastAsia" w:ascii="仿宋" w:hAnsi="仿宋" w:eastAsia="仿宋"/>
          <w:b w:val="0"/>
          <w:sz w:val="32"/>
          <w:szCs w:val="32"/>
        </w:rPr>
        <w:t>指其他用于基层医疗卫生机构的支出。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18</w:t>
      </w:r>
      <w:r>
        <w:rPr>
          <w:rStyle w:val="14"/>
          <w:rFonts w:ascii="仿宋" w:hAnsi="仿宋" w:eastAsia="仿宋"/>
          <w:b w:val="0"/>
          <w:sz w:val="32"/>
          <w:szCs w:val="32"/>
        </w:rPr>
        <w:t>.</w:t>
      </w:r>
      <w:r>
        <w:rPr>
          <w:rFonts w:hint="eastAsia" w:ascii="仿宋" w:hAnsi="仿宋" w:eastAsia="仿宋"/>
          <w:sz w:val="32"/>
          <w:szCs w:val="32"/>
        </w:rPr>
        <w:t>卫生健康</w:t>
      </w:r>
      <w:r>
        <w:rPr>
          <w:rStyle w:val="14"/>
          <w:rFonts w:hint="eastAsia" w:ascii="仿宋" w:hAnsi="仿宋" w:eastAsia="仿宋"/>
          <w:b w:val="0"/>
          <w:sz w:val="32"/>
          <w:szCs w:val="32"/>
        </w:rPr>
        <w:t>支出（类）公共卫生（款）基本公共卫生服务（项）</w:t>
      </w:r>
      <w:r>
        <w:rPr>
          <w:rStyle w:val="14"/>
          <w:rFonts w:ascii="仿宋" w:hAnsi="仿宋" w:eastAsia="仿宋"/>
          <w:b w:val="0"/>
          <w:sz w:val="32"/>
          <w:szCs w:val="32"/>
        </w:rPr>
        <w:t>:</w:t>
      </w:r>
      <w:r>
        <w:rPr>
          <w:rStyle w:val="14"/>
          <w:rFonts w:hint="eastAsia" w:ascii="仿宋" w:hAnsi="仿宋" w:eastAsia="仿宋"/>
          <w:b w:val="0"/>
          <w:sz w:val="32"/>
          <w:szCs w:val="32"/>
        </w:rPr>
        <w:t>指基本公共卫生服务支出。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19</w:t>
      </w:r>
      <w:r>
        <w:rPr>
          <w:rStyle w:val="14"/>
          <w:rFonts w:ascii="仿宋" w:hAnsi="仿宋" w:eastAsia="仿宋"/>
          <w:b w:val="0"/>
          <w:sz w:val="32"/>
          <w:szCs w:val="32"/>
        </w:rPr>
        <w:t>.</w:t>
      </w:r>
      <w:r>
        <w:rPr>
          <w:rFonts w:hint="eastAsia" w:ascii="仿宋" w:hAnsi="仿宋" w:eastAsia="仿宋"/>
          <w:sz w:val="32"/>
          <w:szCs w:val="32"/>
        </w:rPr>
        <w:t>卫生健康</w:t>
      </w:r>
      <w:r>
        <w:rPr>
          <w:rStyle w:val="14"/>
          <w:rFonts w:hint="eastAsia" w:ascii="仿宋" w:hAnsi="仿宋" w:eastAsia="仿宋"/>
          <w:b w:val="0"/>
          <w:sz w:val="32"/>
          <w:szCs w:val="32"/>
        </w:rPr>
        <w:t>支出（类）公共卫生（款）重大公共卫生服务（项）</w:t>
      </w:r>
      <w:r>
        <w:rPr>
          <w:rStyle w:val="14"/>
          <w:rFonts w:ascii="仿宋" w:hAnsi="仿宋" w:eastAsia="仿宋"/>
          <w:b w:val="0"/>
          <w:sz w:val="32"/>
          <w:szCs w:val="32"/>
        </w:rPr>
        <w:t>:</w:t>
      </w:r>
      <w:r>
        <w:rPr>
          <w:rStyle w:val="14"/>
          <w:rFonts w:hint="eastAsia" w:ascii="仿宋" w:hAnsi="仿宋" w:eastAsia="仿宋"/>
          <w:b w:val="0"/>
          <w:sz w:val="32"/>
          <w:szCs w:val="32"/>
        </w:rPr>
        <w:t>指重大疾病预防控制等重大公共卫生服务项目支出。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20</w:t>
      </w:r>
      <w:r>
        <w:rPr>
          <w:rStyle w:val="14"/>
          <w:rFonts w:ascii="仿宋" w:hAnsi="仿宋" w:eastAsia="仿宋"/>
          <w:b w:val="0"/>
          <w:sz w:val="32"/>
          <w:szCs w:val="32"/>
        </w:rPr>
        <w:t>.</w:t>
      </w:r>
      <w:r>
        <w:rPr>
          <w:rFonts w:hint="eastAsia" w:ascii="仿宋" w:hAnsi="仿宋" w:eastAsia="仿宋"/>
          <w:sz w:val="32"/>
          <w:szCs w:val="32"/>
        </w:rPr>
        <w:t>卫生健康</w:t>
      </w:r>
      <w:r>
        <w:rPr>
          <w:rStyle w:val="14"/>
          <w:rFonts w:hint="eastAsia" w:ascii="仿宋" w:hAnsi="仿宋" w:eastAsia="仿宋"/>
          <w:b w:val="0"/>
          <w:sz w:val="32"/>
          <w:szCs w:val="32"/>
        </w:rPr>
        <w:t>支出（类）计划生育事务（款）其他计划生育事务支出（项）</w:t>
      </w:r>
      <w:r>
        <w:rPr>
          <w:rStyle w:val="14"/>
          <w:rFonts w:ascii="仿宋" w:hAnsi="仿宋" w:eastAsia="仿宋"/>
          <w:b w:val="0"/>
          <w:sz w:val="32"/>
          <w:szCs w:val="32"/>
        </w:rPr>
        <w:t>:</w:t>
      </w:r>
      <w:r>
        <w:rPr>
          <w:rStyle w:val="14"/>
          <w:rFonts w:hint="eastAsia" w:ascii="仿宋" w:hAnsi="仿宋" w:eastAsia="仿宋"/>
          <w:b w:val="0"/>
          <w:sz w:val="32"/>
          <w:szCs w:val="32"/>
        </w:rPr>
        <w:t>指其他用于计划生育管理事务方面的支出。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21</w:t>
      </w:r>
      <w:r>
        <w:rPr>
          <w:rStyle w:val="14"/>
          <w:rFonts w:ascii="仿宋" w:hAnsi="仿宋" w:eastAsia="仿宋"/>
          <w:b w:val="0"/>
          <w:sz w:val="32"/>
          <w:szCs w:val="32"/>
        </w:rPr>
        <w:t>.</w:t>
      </w:r>
      <w:r>
        <w:rPr>
          <w:rFonts w:hint="eastAsia" w:ascii="仿宋" w:hAnsi="仿宋" w:eastAsia="仿宋"/>
          <w:sz w:val="32"/>
          <w:szCs w:val="32"/>
        </w:rPr>
        <w:t>卫生健康</w:t>
      </w:r>
      <w:r>
        <w:rPr>
          <w:rStyle w:val="14"/>
          <w:rFonts w:hint="eastAsia" w:ascii="仿宋" w:hAnsi="仿宋" w:eastAsia="仿宋"/>
          <w:b w:val="0"/>
          <w:sz w:val="32"/>
          <w:szCs w:val="32"/>
        </w:rPr>
        <w:t>支出（类）行政事业单位医疗（款）其他行政事业单位医疗支出（项）</w:t>
      </w:r>
      <w:r>
        <w:rPr>
          <w:rStyle w:val="14"/>
          <w:rFonts w:ascii="仿宋" w:hAnsi="仿宋" w:eastAsia="仿宋"/>
          <w:b w:val="0"/>
          <w:sz w:val="32"/>
          <w:szCs w:val="32"/>
        </w:rPr>
        <w:t>:</w:t>
      </w:r>
      <w:r>
        <w:rPr>
          <w:rStyle w:val="14"/>
          <w:rFonts w:hint="eastAsia" w:ascii="仿宋" w:hAnsi="仿宋" w:eastAsia="仿宋"/>
          <w:b w:val="0"/>
          <w:sz w:val="32"/>
          <w:szCs w:val="32"/>
        </w:rPr>
        <w:t>指其他用于行政事业单位医疗方面的支出。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22</w:t>
      </w:r>
      <w:r>
        <w:rPr>
          <w:rStyle w:val="14"/>
          <w:rFonts w:ascii="仿宋" w:hAnsi="仿宋" w:eastAsia="仿宋"/>
          <w:b w:val="0"/>
          <w:sz w:val="32"/>
          <w:szCs w:val="32"/>
        </w:rPr>
        <w:t>.</w:t>
      </w:r>
      <w:r>
        <w:rPr>
          <w:rFonts w:hint="eastAsia" w:ascii="仿宋" w:hAnsi="仿宋" w:eastAsia="仿宋"/>
          <w:sz w:val="32"/>
          <w:szCs w:val="32"/>
        </w:rPr>
        <w:t>卫生健康</w:t>
      </w:r>
      <w:r>
        <w:rPr>
          <w:rStyle w:val="14"/>
          <w:rFonts w:hint="eastAsia" w:ascii="仿宋" w:hAnsi="仿宋" w:eastAsia="仿宋"/>
          <w:b w:val="0"/>
          <w:sz w:val="32"/>
          <w:szCs w:val="32"/>
        </w:rPr>
        <w:t>支出（类）其他卫生健康支出（款）其他卫生健康支出（项）</w:t>
      </w:r>
      <w:r>
        <w:rPr>
          <w:rStyle w:val="14"/>
          <w:rFonts w:ascii="仿宋" w:hAnsi="仿宋" w:eastAsia="仿宋"/>
          <w:b w:val="0"/>
          <w:sz w:val="32"/>
          <w:szCs w:val="32"/>
        </w:rPr>
        <w:t>:</w:t>
      </w:r>
      <w:r>
        <w:rPr>
          <w:rStyle w:val="14"/>
          <w:rFonts w:hint="eastAsia" w:ascii="仿宋" w:hAnsi="仿宋" w:eastAsia="仿宋"/>
          <w:b w:val="0"/>
          <w:sz w:val="32"/>
          <w:szCs w:val="32"/>
        </w:rPr>
        <w:t>指其他用于卫生健康方面的支出。</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23.农</w:t>
      </w:r>
      <w:r>
        <w:rPr>
          <w:rFonts w:hint="eastAsia" w:ascii="仿宋" w:hAnsi="仿宋" w:eastAsia="仿宋"/>
          <w:sz w:val="32"/>
          <w:szCs w:val="32"/>
        </w:rPr>
        <w:t>林水扶贫支出（类）扶贫（款）其他扶贫支出（项）：指其他用于扶贫方面的支出。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26</w:t>
      </w:r>
      <w:r>
        <w:rPr>
          <w:rFonts w:ascii="仿宋_GB2312" w:eastAsia="仿宋_GB2312"/>
          <w:sz w:val="32"/>
          <w:szCs w:val="32"/>
        </w:rPr>
        <w:t>.</w:t>
      </w:r>
      <w:r>
        <w:rPr>
          <w:rFonts w:hint="eastAsia" w:ascii="仿宋_GB2312" w:eastAsia="仿宋_GB2312"/>
          <w:sz w:val="32"/>
          <w:szCs w:val="32"/>
        </w:rPr>
        <w:t>政府采购支出：为开展日常业务活动，在财政的监督下，以法定的方式、方法和程序，通过公开招标、公平竞争的方式购买货物、工程和服务。</w:t>
      </w:r>
    </w:p>
    <w:p>
      <w:pPr>
        <w:rPr>
          <w:rFonts w:ascii="仿宋_GB2312" w:eastAsia="仿宋_GB2312"/>
          <w:color w:val="000000"/>
          <w:sz w:val="32"/>
          <w:szCs w:val="32"/>
        </w:rPr>
      </w:pPr>
    </w:p>
    <w:p>
      <w:pPr>
        <w:spacing w:line="600" w:lineRule="exact"/>
        <w:jc w:val="center"/>
        <w:outlineLvl w:val="0"/>
        <w:rPr>
          <w:rFonts w:ascii="黑体" w:hAnsi="黑体" w:eastAsia="黑体" w:cs="黑体"/>
          <w:sz w:val="32"/>
          <w:szCs w:val="32"/>
        </w:rPr>
      </w:pPr>
      <w:bookmarkStart w:id="93" w:name="_Toc5092"/>
      <w:bookmarkStart w:id="94" w:name="_Toc15396614"/>
      <w:r>
        <w:rPr>
          <w:rFonts w:hint="eastAsia" w:ascii="黑体" w:hAnsi="黑体" w:eastAsia="黑体"/>
          <w:color w:val="000000"/>
          <w:sz w:val="44"/>
          <w:szCs w:val="44"/>
        </w:rPr>
        <w:t>第</w:t>
      </w:r>
      <w:r>
        <w:rPr>
          <w:rStyle w:val="17"/>
          <w:rFonts w:hint="eastAsia" w:ascii="黑体" w:hAnsi="黑体" w:eastAsia="黑体"/>
          <w:b w:val="0"/>
        </w:rPr>
        <w:t>四部分附件</w:t>
      </w:r>
      <w:bookmarkEnd w:id="93"/>
      <w:bookmarkEnd w:id="94"/>
      <w:bookmarkStart w:id="95" w:name="_Toc7148"/>
    </w:p>
    <w:p>
      <w:pPr>
        <w:spacing w:line="600" w:lineRule="exact"/>
        <w:jc w:val="left"/>
        <w:outlineLvl w:val="0"/>
        <w:rPr>
          <w:rFonts w:ascii="黑体" w:hAnsi="黑体" w:eastAsia="黑体" w:cs="黑体"/>
          <w:sz w:val="32"/>
          <w:szCs w:val="32"/>
        </w:rPr>
      </w:pPr>
      <w:bookmarkStart w:id="96" w:name="_Toc5544"/>
      <w:bookmarkStart w:id="97" w:name="_Toc10738"/>
      <w:bookmarkStart w:id="98" w:name="_Toc27964"/>
    </w:p>
    <w:p>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r>
        <w:rPr>
          <w:rFonts w:ascii="黑体" w:hAnsi="黑体" w:eastAsia="黑体" w:cs="黑体"/>
          <w:sz w:val="32"/>
          <w:szCs w:val="32"/>
        </w:rPr>
        <w:t>1</w:t>
      </w:r>
      <w:bookmarkEnd w:id="95"/>
      <w:bookmarkEnd w:id="96"/>
      <w:bookmarkEnd w:id="97"/>
      <w:bookmarkEnd w:id="98"/>
    </w:p>
    <w:p>
      <w:pPr>
        <w:spacing w:line="600" w:lineRule="exact"/>
        <w:jc w:val="center"/>
        <w:rPr>
          <w:rFonts w:ascii="黑体" w:hAnsi="宋体" w:eastAsia="黑体" w:cs="宋体"/>
          <w:color w:val="000000"/>
          <w:kern w:val="0"/>
          <w:sz w:val="24"/>
          <w:szCs w:val="32"/>
          <w:shd w:val="clear" w:color="auto" w:fill="FFFFFF"/>
        </w:rPr>
      </w:pPr>
      <w:r>
        <w:rPr>
          <w:rFonts w:hint="eastAsia" w:ascii="方正小标宋简体" w:hAnsi="宋体" w:eastAsia="方正小标宋简体"/>
          <w:color w:val="000000"/>
          <w:kern w:val="0"/>
          <w:sz w:val="40"/>
          <w:szCs w:val="44"/>
        </w:rPr>
        <w:t>遂宁市中心医院</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18年部门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ind w:firstLine="642" w:firstLineChars="200"/>
        <w:rPr>
          <w:rFonts w:ascii="仿宋_GB2312" w:eastAsia="仿宋_GB2312"/>
          <w:b/>
          <w:bCs/>
          <w:color w:val="000000"/>
          <w:sz w:val="32"/>
          <w:szCs w:val="32"/>
          <w:lang w:val="zh-CN"/>
        </w:rPr>
      </w:pPr>
      <w:r>
        <w:rPr>
          <w:rFonts w:hint="eastAsia" w:ascii="仿宋_GB2312" w:eastAsia="仿宋_GB2312"/>
          <w:b/>
          <w:bCs/>
          <w:color w:val="000000"/>
          <w:sz w:val="32"/>
          <w:szCs w:val="32"/>
          <w:lang w:val="zh-CN"/>
        </w:rPr>
        <w:t>（一）机构组成以及机构职能概况</w:t>
      </w:r>
    </w:p>
    <w:p>
      <w:pPr>
        <w:pStyle w:val="5"/>
        <w:adjustRightInd w:val="0"/>
        <w:snapToGrid w:val="0"/>
        <w:spacing w:before="93" w:line="600" w:lineRule="exact"/>
        <w:ind w:firstLine="672" w:firstLineChars="210"/>
        <w:outlineLvl w:val="2"/>
        <w:rPr>
          <w:rFonts w:hAnsi="黑体"/>
          <w:sz w:val="32"/>
          <w:szCs w:val="32"/>
        </w:rPr>
      </w:pPr>
      <w:bookmarkStart w:id="99" w:name="_Toc26457"/>
      <w:r>
        <w:rPr>
          <w:rFonts w:hint="eastAsia"/>
          <w:color w:val="000000"/>
          <w:kern w:val="2"/>
          <w:sz w:val="32"/>
          <w:szCs w:val="32"/>
        </w:rPr>
        <w:t>遂宁市中心医院是一所集医疗、教学、科研、预防、保健为一体的国家三级甲等综合医院。医院现承担了省内外十余家医学院校的临床教学任务，是川北医学院、重庆医科大学非直管附属医院，是重庆医科大学、川北医学院附属医院、成都中医药大学遂宁临床学院和遵义医科大学研究生联合培养基地，国家第一批住院医师规范化培训基地、四川省专科医师规范化培训基地、四川省全科医生转岗培训基地，是西班牙特拉萨大学医院、法国昂热医教中心、加拿大七橡树综合医院国际友好合作医院，</w:t>
      </w:r>
      <w:bookmarkEnd w:id="99"/>
      <w:r>
        <w:rPr>
          <w:rFonts w:hint="eastAsia" w:hAnsi="黑体"/>
          <w:sz w:val="32"/>
          <w:szCs w:val="32"/>
        </w:rPr>
        <w:t>连续六年进入全国地级城市医院100强，2018年位列全国地级城市医院竞争力第60位、四川省域医院排名第7位。</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widowControl/>
        <w:numPr>
          <w:ilvl w:val="0"/>
          <w:numId w:val="3"/>
        </w:numPr>
        <w:adjustRightInd w:val="0"/>
        <w:snapToGrid w:val="0"/>
        <w:spacing w:line="580" w:lineRule="exact"/>
        <w:ind w:firstLine="642"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人员概况</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zh-CN"/>
        </w:rPr>
        <w:t>我单位现有在职人员</w:t>
      </w:r>
      <w:r>
        <w:rPr>
          <w:rFonts w:hint="eastAsia" w:ascii="仿宋_GB2312" w:eastAsia="仿宋_GB2312"/>
          <w:color w:val="000000"/>
          <w:sz w:val="32"/>
          <w:szCs w:val="32"/>
        </w:rPr>
        <w:t>2433人，其中在编人员有1063人，编外长期聘用人员1370人。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二、部门资金收支情况</w:t>
      </w:r>
    </w:p>
    <w:p>
      <w:pPr>
        <w:widowControl/>
        <w:adjustRightInd w:val="0"/>
        <w:snapToGrid w:val="0"/>
        <w:spacing w:line="580" w:lineRule="exact"/>
        <w:ind w:firstLine="642"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（一）部门资金收入情况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ascii="仿宋" w:hAnsi="仿宋" w:eastAsia="仿宋"/>
          <w:color w:val="000000"/>
          <w:sz w:val="32"/>
          <w:szCs w:val="32"/>
        </w:rPr>
        <w:t>20</w:t>
      </w:r>
      <w:r>
        <w:rPr>
          <w:rFonts w:hint="eastAsia" w:ascii="仿宋" w:hAnsi="仿宋" w:eastAsia="仿宋"/>
          <w:color w:val="000000"/>
          <w:sz w:val="32"/>
          <w:szCs w:val="32"/>
        </w:rPr>
        <w:t>18年</w:t>
      </w:r>
      <w:r>
        <w:rPr>
          <w:rFonts w:hint="eastAsia" w:ascii="仿宋_GB2312" w:hAnsi="宋体" w:eastAsia="仿宋_GB2312" w:cs="宋体"/>
          <w:color w:val="000000"/>
          <w:kern w:val="0"/>
          <w:sz w:val="32"/>
          <w:szCs w:val="32"/>
          <w:shd w:val="clear" w:color="auto" w:fill="FFFFFF"/>
          <w:lang w:val="zh-CN"/>
        </w:rPr>
        <w:t>部门预算收入</w:t>
      </w:r>
      <w:r>
        <w:rPr>
          <w:rFonts w:hint="eastAsia" w:ascii="仿宋_GB2312" w:hAnsi="宋体" w:eastAsia="仿宋_GB2312" w:cs="宋体"/>
          <w:color w:val="000000"/>
          <w:kern w:val="0"/>
          <w:sz w:val="32"/>
          <w:szCs w:val="32"/>
          <w:shd w:val="clear" w:color="auto" w:fill="FFFFFF"/>
        </w:rPr>
        <w:t>148956.8万元；其中一般公共预算收入537.43万元，事业单位经营预算收入148419.4万元。</w:t>
      </w:r>
    </w:p>
    <w:p>
      <w:pPr>
        <w:widowControl/>
        <w:adjustRightInd w:val="0"/>
        <w:snapToGrid w:val="0"/>
        <w:spacing w:line="580" w:lineRule="exact"/>
        <w:ind w:firstLine="642"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（二）部门资金支出情况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2018年部门预算支出148956.8万元；其中一般公共预算支出537.43万元；基本支出127002.7万元；项目支出21954.11万元；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2018年，我单位通过加强预算收支管理，不断建立健全内部管理制度，理顺内部管理流程，部门整体支出管理情况得等了提升。为加强国有资产管理，提高资金使用效益，在财务管理和厉行节约方面开展了大量的工作，行政效能显著。</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1.加强医疗服务质量建设，规范医务人员诊疗行为。严肃查处乱检查、乱收费等行为，切实控制医疗费用不合理增长，确保广大群众得实惠。</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2.健康产业基地项目是我单位重点实施的项目，能够增强我单位医疗机构服务能力、服务质量；能够更好</w:t>
      </w:r>
      <w:r>
        <w:rPr>
          <w:rFonts w:hint="eastAsia" w:ascii="仿宋_GB2312" w:hAnsi="宋体" w:eastAsia="仿宋_GB2312" w:cs="宋体"/>
          <w:color w:val="000000"/>
          <w:kern w:val="0"/>
          <w:sz w:val="32"/>
          <w:szCs w:val="32"/>
          <w:shd w:val="clear" w:color="auto" w:fill="FFFFFF"/>
          <w:lang w:eastAsia="zh-CN"/>
        </w:rPr>
        <w:t>地</w:t>
      </w:r>
      <w:r>
        <w:rPr>
          <w:rFonts w:hint="eastAsia" w:ascii="仿宋_GB2312" w:hAnsi="宋体" w:eastAsia="仿宋_GB2312" w:cs="宋体"/>
          <w:color w:val="000000"/>
          <w:kern w:val="0"/>
          <w:sz w:val="32"/>
          <w:szCs w:val="32"/>
          <w:shd w:val="clear" w:color="auto" w:fill="FFFFFF"/>
        </w:rPr>
        <w:t>满足广大人民群众日益增长的健康需求，充分发挥我单位在诊疗中的优势和作用，群众反映良好，医院形象进一步提升，医院的经济效益和社会效益都明显提高。</w:t>
      </w:r>
    </w:p>
    <w:p>
      <w:pPr>
        <w:widowControl/>
        <w:numPr>
          <w:ilvl w:val="0"/>
          <w:numId w:val="1"/>
        </w:numPr>
        <w:adjustRightInd w:val="0"/>
        <w:snapToGrid w:val="0"/>
        <w:spacing w:line="580" w:lineRule="exact"/>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1.细化预算编制工作，认真做好预算的编制。严格按照预算编制的相关制度和要求，进行预算编制；进一步提高预算编制的科学性、合理性、严谨性和可控性。</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2.在日常预算管理过程中，进一步加强预算支出的审核、跟踪及预算执行情况分析。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3.对相关人员加强培训，特别是针对《预算法》、《行政事业单位会计制度》等规范部门预算收支审核，提高预算收支管理水平。</w:t>
      </w:r>
    </w:p>
    <w:p>
      <w:pPr>
        <w:ind w:firstLine="640" w:firstLineChars="200"/>
        <w:rPr>
          <w:rFonts w:ascii="仿宋" w:hAnsi="仿宋" w:eastAsia="仿宋"/>
          <w:color w:val="000000"/>
          <w:sz w:val="32"/>
          <w:szCs w:val="32"/>
        </w:rPr>
      </w:pPr>
    </w:p>
    <w:p>
      <w:pPr>
        <w:ind w:firstLine="640" w:firstLineChars="200"/>
        <w:rPr>
          <w:rFonts w:ascii="仿宋" w:hAnsi="仿宋" w:eastAsia="仿宋"/>
          <w:color w:val="000000"/>
          <w:sz w:val="32"/>
          <w:szCs w:val="32"/>
        </w:rPr>
        <w:sectPr>
          <w:footerReference r:id="rId3" w:type="default"/>
          <w:pgSz w:w="11906" w:h="16838"/>
          <w:pgMar w:top="1440" w:right="1800" w:bottom="1440" w:left="1800" w:header="851" w:footer="992" w:gutter="0"/>
          <w:pgNumType w:start="2"/>
          <w:cols w:space="425" w:num="1"/>
          <w:docGrid w:type="lines" w:linePitch="312" w:charSpace="0"/>
        </w:sectPr>
      </w:pPr>
    </w:p>
    <w:p>
      <w:pPr>
        <w:spacing w:line="600" w:lineRule="exact"/>
        <w:ind w:left="315" w:leftChars="150"/>
        <w:jc w:val="center"/>
        <w:outlineLvl w:val="0"/>
        <w:rPr>
          <w:rFonts w:ascii="仿宋" w:hAnsi="仿宋" w:eastAsia="仿宋"/>
          <w:b/>
          <w:color w:val="000000"/>
        </w:rPr>
      </w:pPr>
      <w:bookmarkStart w:id="100" w:name="_Toc15396618"/>
      <w:bookmarkStart w:id="101" w:name="_Toc9664"/>
      <w:r>
        <w:rPr>
          <w:rStyle w:val="17"/>
          <w:rFonts w:hint="eastAsia" w:ascii="黑体" w:hAnsi="黑体" w:eastAsia="黑体"/>
          <w:b w:val="0"/>
        </w:rPr>
        <w:t>第五部分 附表</w:t>
      </w:r>
      <w:bookmarkEnd w:id="100"/>
      <w:bookmarkEnd w:id="101"/>
      <w:bookmarkStart w:id="102" w:name="_Toc15396619"/>
    </w:p>
    <w:bookmarkEnd w:id="102"/>
    <w:p>
      <w:pPr>
        <w:pStyle w:val="3"/>
        <w:rPr>
          <w:rFonts w:ascii="仿宋" w:hAnsi="仿宋" w:eastAsia="仿宋"/>
          <w:color w:val="000000"/>
        </w:rPr>
      </w:pPr>
      <w:bookmarkStart w:id="103" w:name="_Toc29881"/>
      <w:bookmarkStart w:id="104" w:name="_Toc26306"/>
      <w:r>
        <w:rPr>
          <w:rFonts w:hint="eastAsia" w:ascii="仿宋" w:hAnsi="仿宋" w:eastAsia="仿宋"/>
          <w:b w:val="0"/>
          <w:color w:val="000000"/>
        </w:rPr>
        <w:t>一、收</w:t>
      </w:r>
      <w:r>
        <w:rPr>
          <w:rStyle w:val="30"/>
          <w:rFonts w:hint="eastAsia" w:ascii="仿宋" w:hAnsi="仿宋" w:eastAsia="仿宋"/>
          <w:b w:val="0"/>
          <w:bCs w:val="0"/>
        </w:rPr>
        <w:t>入支出决算总表</w:t>
      </w:r>
      <w:bookmarkEnd w:id="103"/>
      <w:bookmarkEnd w:id="104"/>
    </w:p>
    <w:p>
      <w:pPr>
        <w:pStyle w:val="3"/>
        <w:rPr>
          <w:rFonts w:ascii="仿宋" w:hAnsi="仿宋" w:eastAsia="仿宋"/>
          <w:color w:val="000000"/>
        </w:rPr>
      </w:pPr>
      <w:bookmarkStart w:id="105" w:name="_Toc26569"/>
      <w:bookmarkStart w:id="106" w:name="_Toc15396620"/>
      <w:bookmarkStart w:id="107" w:name="_Toc846"/>
      <w:r>
        <w:rPr>
          <w:rFonts w:hint="eastAsia" w:ascii="仿宋" w:hAnsi="仿宋" w:eastAsia="仿宋"/>
          <w:b w:val="0"/>
          <w:color w:val="000000"/>
        </w:rPr>
        <w:t>二、收</w:t>
      </w:r>
      <w:r>
        <w:rPr>
          <w:rStyle w:val="30"/>
          <w:rFonts w:hint="eastAsia" w:ascii="仿宋" w:hAnsi="仿宋" w:eastAsia="仿宋"/>
          <w:b w:val="0"/>
          <w:bCs w:val="0"/>
        </w:rPr>
        <w:t>入决算表</w:t>
      </w:r>
      <w:bookmarkEnd w:id="105"/>
      <w:bookmarkEnd w:id="106"/>
      <w:bookmarkEnd w:id="107"/>
    </w:p>
    <w:p>
      <w:pPr>
        <w:pStyle w:val="3"/>
        <w:rPr>
          <w:rFonts w:ascii="仿宋" w:hAnsi="仿宋" w:eastAsia="仿宋"/>
          <w:color w:val="000000"/>
        </w:rPr>
      </w:pPr>
      <w:bookmarkStart w:id="108" w:name="_Toc15396621"/>
      <w:bookmarkStart w:id="109" w:name="_Toc15221"/>
      <w:bookmarkStart w:id="110" w:name="_Toc11901"/>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108"/>
      <w:bookmarkEnd w:id="109"/>
      <w:bookmarkEnd w:id="110"/>
    </w:p>
    <w:p>
      <w:pPr>
        <w:pStyle w:val="3"/>
        <w:rPr>
          <w:rFonts w:ascii="仿宋" w:hAnsi="仿宋" w:eastAsia="仿宋"/>
          <w:b w:val="0"/>
          <w:color w:val="000000"/>
        </w:rPr>
      </w:pPr>
      <w:bookmarkStart w:id="111" w:name="_Toc15396622"/>
      <w:bookmarkStart w:id="112" w:name="_Toc31541"/>
      <w:bookmarkStart w:id="113" w:name="_Toc9852"/>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111"/>
      <w:bookmarkEnd w:id="112"/>
      <w:bookmarkEnd w:id="113"/>
    </w:p>
    <w:p>
      <w:pPr>
        <w:pStyle w:val="3"/>
        <w:rPr>
          <w:rStyle w:val="30"/>
          <w:rFonts w:ascii="仿宋" w:hAnsi="仿宋" w:eastAsia="仿宋"/>
          <w:b w:val="0"/>
          <w:bCs w:val="0"/>
        </w:rPr>
      </w:pPr>
      <w:bookmarkStart w:id="114" w:name="_Toc30725"/>
      <w:bookmarkStart w:id="115" w:name="_Toc15396623"/>
      <w:bookmarkStart w:id="116" w:name="_Toc11614"/>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114"/>
      <w:bookmarkEnd w:id="115"/>
      <w:bookmarkEnd w:id="116"/>
      <w:bookmarkStart w:id="117" w:name="_Toc15396624"/>
    </w:p>
    <w:p>
      <w:pPr>
        <w:pStyle w:val="3"/>
        <w:rPr>
          <w:rFonts w:ascii="仿宋" w:hAnsi="仿宋" w:eastAsia="仿宋"/>
          <w:color w:val="000000"/>
        </w:rPr>
      </w:pPr>
      <w:bookmarkStart w:id="118" w:name="_Toc31109"/>
      <w:bookmarkStart w:id="119" w:name="_Toc18525"/>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117"/>
      <w:bookmarkEnd w:id="118"/>
      <w:bookmarkEnd w:id="119"/>
    </w:p>
    <w:p>
      <w:pPr>
        <w:pStyle w:val="3"/>
        <w:rPr>
          <w:rFonts w:ascii="仿宋" w:hAnsi="仿宋" w:eastAsia="仿宋"/>
          <w:color w:val="000000"/>
        </w:rPr>
      </w:pPr>
      <w:bookmarkStart w:id="120" w:name="_Toc15396625"/>
      <w:bookmarkStart w:id="121" w:name="_Toc29678"/>
      <w:bookmarkStart w:id="122" w:name="_Toc2202"/>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120"/>
      <w:bookmarkEnd w:id="121"/>
      <w:bookmarkEnd w:id="122"/>
    </w:p>
    <w:p>
      <w:pPr>
        <w:pStyle w:val="3"/>
        <w:rPr>
          <w:rFonts w:ascii="仿宋" w:hAnsi="仿宋" w:eastAsia="仿宋"/>
          <w:color w:val="000000"/>
        </w:rPr>
      </w:pPr>
      <w:bookmarkStart w:id="123" w:name="_Toc2208"/>
      <w:bookmarkStart w:id="124" w:name="_Toc15396626"/>
      <w:bookmarkStart w:id="125" w:name="_Toc32493"/>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123"/>
      <w:bookmarkEnd w:id="124"/>
      <w:bookmarkEnd w:id="125"/>
    </w:p>
    <w:p>
      <w:pPr>
        <w:pStyle w:val="3"/>
        <w:rPr>
          <w:rFonts w:ascii="仿宋" w:hAnsi="仿宋" w:eastAsia="仿宋"/>
          <w:color w:val="000000"/>
        </w:rPr>
      </w:pPr>
      <w:bookmarkStart w:id="126" w:name="_Toc31951"/>
      <w:bookmarkStart w:id="127" w:name="_Toc15396627"/>
      <w:bookmarkStart w:id="128" w:name="_Toc30380"/>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126"/>
      <w:bookmarkEnd w:id="127"/>
      <w:bookmarkEnd w:id="128"/>
    </w:p>
    <w:p>
      <w:pPr>
        <w:pStyle w:val="3"/>
        <w:rPr>
          <w:rFonts w:ascii="仿宋" w:hAnsi="仿宋" w:eastAsia="仿宋"/>
          <w:color w:val="000000"/>
        </w:rPr>
      </w:pPr>
      <w:bookmarkStart w:id="129" w:name="_Toc24607"/>
      <w:bookmarkStart w:id="130" w:name="_Toc15396628"/>
      <w:bookmarkStart w:id="131" w:name="_Toc28407"/>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129"/>
      <w:bookmarkEnd w:id="130"/>
      <w:bookmarkEnd w:id="131"/>
    </w:p>
    <w:p>
      <w:pPr>
        <w:pStyle w:val="3"/>
        <w:rPr>
          <w:rFonts w:ascii="仿宋" w:hAnsi="仿宋" w:eastAsia="仿宋"/>
          <w:color w:val="000000"/>
        </w:rPr>
      </w:pPr>
      <w:bookmarkStart w:id="132" w:name="_Toc12933"/>
      <w:bookmarkStart w:id="133" w:name="_Toc22640"/>
      <w:bookmarkStart w:id="134" w:name="_Toc15396629"/>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132"/>
      <w:bookmarkEnd w:id="133"/>
      <w:bookmarkEnd w:id="134"/>
    </w:p>
    <w:p>
      <w:pPr>
        <w:pStyle w:val="3"/>
        <w:rPr>
          <w:rFonts w:ascii="仿宋" w:hAnsi="仿宋" w:eastAsia="仿宋"/>
          <w:color w:val="000000"/>
        </w:rPr>
      </w:pPr>
      <w:bookmarkStart w:id="135" w:name="_Toc4648"/>
      <w:bookmarkStart w:id="136" w:name="_Toc21122"/>
      <w:bookmarkStart w:id="137" w:name="_Toc15396630"/>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135"/>
      <w:bookmarkEnd w:id="136"/>
      <w:bookmarkEnd w:id="137"/>
    </w:p>
    <w:p>
      <w:pPr>
        <w:pStyle w:val="3"/>
        <w:rPr>
          <w:rStyle w:val="30"/>
          <w:rFonts w:ascii="仿宋" w:hAnsi="仿宋" w:eastAsia="仿宋"/>
          <w:b w:val="0"/>
          <w:bCs w:val="0"/>
        </w:rPr>
      </w:pPr>
      <w:bookmarkStart w:id="138" w:name="_Toc18539"/>
      <w:bookmarkStart w:id="139" w:name="_Toc15396631"/>
      <w:bookmarkStart w:id="140" w:name="_Toc31494"/>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有资本经营预算财政拨款收入支出决算表</w:t>
      </w:r>
      <w:bookmarkEnd w:id="138"/>
      <w:bookmarkEnd w:id="139"/>
      <w:bookmarkEnd w:id="140"/>
    </w:p>
    <w:p>
      <w:pPr>
        <w:pStyle w:val="3"/>
        <w:rPr>
          <w:rStyle w:val="30"/>
          <w:rFonts w:ascii="仿宋" w:hAnsi="仿宋" w:eastAsia="仿宋"/>
          <w:b w:val="0"/>
          <w:bCs w:val="0"/>
        </w:rPr>
      </w:pPr>
      <w:bookmarkStart w:id="141" w:name="_Toc21771"/>
      <w:r>
        <w:rPr>
          <w:rStyle w:val="30"/>
          <w:rFonts w:hint="eastAsia" w:ascii="仿宋" w:hAnsi="仿宋" w:eastAsia="仿宋"/>
          <w:b w:val="0"/>
          <w:bCs w:val="0"/>
        </w:rPr>
        <w:t>十四、</w:t>
      </w:r>
      <w:r>
        <w:rPr>
          <w:rFonts w:hint="eastAsia" w:ascii="仿宋" w:hAnsi="仿宋" w:eastAsia="仿宋"/>
          <w:b w:val="0"/>
          <w:color w:val="000000"/>
        </w:rPr>
        <w:t>国</w:t>
      </w:r>
      <w:r>
        <w:rPr>
          <w:rStyle w:val="30"/>
          <w:rFonts w:hint="eastAsia" w:ascii="仿宋" w:hAnsi="仿宋" w:eastAsia="仿宋"/>
          <w:b w:val="0"/>
          <w:bCs w:val="0"/>
        </w:rPr>
        <w:t>有资本经营预算财政拨款支出决算表</w:t>
      </w:r>
      <w:bookmarkEnd w:id="141"/>
    </w:p>
    <w:p>
      <w:pPr>
        <w:rPr>
          <w:rFonts w:ascii="仿宋" w:hAnsi="仿宋" w:eastAsia="仿宋"/>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E6C4D"/>
    <w:multiLevelType w:val="singleLevel"/>
    <w:tmpl w:val="C55E6C4D"/>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38F3986"/>
    <w:rsid w:val="00057950"/>
    <w:rsid w:val="00057C90"/>
    <w:rsid w:val="000A79F7"/>
    <w:rsid w:val="000F3F87"/>
    <w:rsid w:val="002378C9"/>
    <w:rsid w:val="00342ABF"/>
    <w:rsid w:val="003627B4"/>
    <w:rsid w:val="003C38BB"/>
    <w:rsid w:val="003D6256"/>
    <w:rsid w:val="004B234D"/>
    <w:rsid w:val="004D4F69"/>
    <w:rsid w:val="0051408C"/>
    <w:rsid w:val="00520403"/>
    <w:rsid w:val="005209DD"/>
    <w:rsid w:val="005A3B3C"/>
    <w:rsid w:val="00640585"/>
    <w:rsid w:val="006704F6"/>
    <w:rsid w:val="00685643"/>
    <w:rsid w:val="006F19F4"/>
    <w:rsid w:val="00733AD8"/>
    <w:rsid w:val="007D1EF3"/>
    <w:rsid w:val="007E5FD3"/>
    <w:rsid w:val="00812577"/>
    <w:rsid w:val="00855CD9"/>
    <w:rsid w:val="008E4FC7"/>
    <w:rsid w:val="008F46E6"/>
    <w:rsid w:val="00981C81"/>
    <w:rsid w:val="009E3A8D"/>
    <w:rsid w:val="00A055BA"/>
    <w:rsid w:val="00A120FF"/>
    <w:rsid w:val="00A13523"/>
    <w:rsid w:val="00B1167A"/>
    <w:rsid w:val="00B8072D"/>
    <w:rsid w:val="00BB3919"/>
    <w:rsid w:val="00BE56B9"/>
    <w:rsid w:val="00C96185"/>
    <w:rsid w:val="00C96BA8"/>
    <w:rsid w:val="00CE48D1"/>
    <w:rsid w:val="00D3603F"/>
    <w:rsid w:val="00DD4B30"/>
    <w:rsid w:val="00E45EED"/>
    <w:rsid w:val="00E82725"/>
    <w:rsid w:val="00E84931"/>
    <w:rsid w:val="00EB2EA2"/>
    <w:rsid w:val="00F00868"/>
    <w:rsid w:val="00F1134E"/>
    <w:rsid w:val="00F67202"/>
    <w:rsid w:val="00F81D4B"/>
    <w:rsid w:val="00FC56B0"/>
    <w:rsid w:val="011824EA"/>
    <w:rsid w:val="011A3E3C"/>
    <w:rsid w:val="01514940"/>
    <w:rsid w:val="01612E2D"/>
    <w:rsid w:val="01B058BF"/>
    <w:rsid w:val="01DA0C71"/>
    <w:rsid w:val="01E8592D"/>
    <w:rsid w:val="021E330B"/>
    <w:rsid w:val="02354413"/>
    <w:rsid w:val="02CC4656"/>
    <w:rsid w:val="031E3BBD"/>
    <w:rsid w:val="03570DDE"/>
    <w:rsid w:val="03796ED9"/>
    <w:rsid w:val="039E22F0"/>
    <w:rsid w:val="03C9068A"/>
    <w:rsid w:val="03D1175B"/>
    <w:rsid w:val="03E47367"/>
    <w:rsid w:val="04103F93"/>
    <w:rsid w:val="0428450C"/>
    <w:rsid w:val="043E30DE"/>
    <w:rsid w:val="04514EE3"/>
    <w:rsid w:val="048B290F"/>
    <w:rsid w:val="04D9299B"/>
    <w:rsid w:val="054315EA"/>
    <w:rsid w:val="055A5E62"/>
    <w:rsid w:val="05770BC7"/>
    <w:rsid w:val="05D0159B"/>
    <w:rsid w:val="05E36DBE"/>
    <w:rsid w:val="05E77C20"/>
    <w:rsid w:val="06153B9A"/>
    <w:rsid w:val="06AC177E"/>
    <w:rsid w:val="06AE5AB8"/>
    <w:rsid w:val="06C75586"/>
    <w:rsid w:val="06F76FBB"/>
    <w:rsid w:val="076C13C4"/>
    <w:rsid w:val="07BC6D1D"/>
    <w:rsid w:val="07BD74F1"/>
    <w:rsid w:val="07C22549"/>
    <w:rsid w:val="07D96765"/>
    <w:rsid w:val="08127370"/>
    <w:rsid w:val="081F6A4E"/>
    <w:rsid w:val="084069D4"/>
    <w:rsid w:val="085B27EF"/>
    <w:rsid w:val="087A5518"/>
    <w:rsid w:val="08964E27"/>
    <w:rsid w:val="089E0D73"/>
    <w:rsid w:val="08CE41C0"/>
    <w:rsid w:val="09A44AE4"/>
    <w:rsid w:val="09B31F9C"/>
    <w:rsid w:val="09BF7DB6"/>
    <w:rsid w:val="09FC0CC4"/>
    <w:rsid w:val="0A091AE4"/>
    <w:rsid w:val="0A1C0C14"/>
    <w:rsid w:val="0A34657D"/>
    <w:rsid w:val="0A791D37"/>
    <w:rsid w:val="0A9D25D7"/>
    <w:rsid w:val="0B097410"/>
    <w:rsid w:val="0B370307"/>
    <w:rsid w:val="0B6C451C"/>
    <w:rsid w:val="0B733E12"/>
    <w:rsid w:val="0B91283B"/>
    <w:rsid w:val="0B9A2358"/>
    <w:rsid w:val="0BCE4273"/>
    <w:rsid w:val="0BDA3CB1"/>
    <w:rsid w:val="0CAD4D2B"/>
    <w:rsid w:val="0CEB2814"/>
    <w:rsid w:val="0D254464"/>
    <w:rsid w:val="0D3443EE"/>
    <w:rsid w:val="0D4B04C5"/>
    <w:rsid w:val="0D5A6BE9"/>
    <w:rsid w:val="0D823FD2"/>
    <w:rsid w:val="0D95268B"/>
    <w:rsid w:val="0DC77A42"/>
    <w:rsid w:val="0E1244F9"/>
    <w:rsid w:val="0E200BAD"/>
    <w:rsid w:val="0E2E7122"/>
    <w:rsid w:val="0E4675F7"/>
    <w:rsid w:val="0E770513"/>
    <w:rsid w:val="0F2E11AC"/>
    <w:rsid w:val="0F5A1772"/>
    <w:rsid w:val="0F5F145D"/>
    <w:rsid w:val="0F676AD5"/>
    <w:rsid w:val="0F6A7683"/>
    <w:rsid w:val="0F805BD2"/>
    <w:rsid w:val="0F8A197B"/>
    <w:rsid w:val="0FDC5C50"/>
    <w:rsid w:val="10004BA9"/>
    <w:rsid w:val="10027ABC"/>
    <w:rsid w:val="105844AC"/>
    <w:rsid w:val="10655366"/>
    <w:rsid w:val="109E51FA"/>
    <w:rsid w:val="10B32FEA"/>
    <w:rsid w:val="10FD3BA8"/>
    <w:rsid w:val="111141BE"/>
    <w:rsid w:val="11A65EC4"/>
    <w:rsid w:val="11A7332C"/>
    <w:rsid w:val="11B07A8C"/>
    <w:rsid w:val="11BE3143"/>
    <w:rsid w:val="11BE71F0"/>
    <w:rsid w:val="11C5385A"/>
    <w:rsid w:val="11F53E21"/>
    <w:rsid w:val="122B30AA"/>
    <w:rsid w:val="127A1754"/>
    <w:rsid w:val="129D220E"/>
    <w:rsid w:val="12E21284"/>
    <w:rsid w:val="12E645D4"/>
    <w:rsid w:val="12E93148"/>
    <w:rsid w:val="13026587"/>
    <w:rsid w:val="130409AD"/>
    <w:rsid w:val="13365C5E"/>
    <w:rsid w:val="137A32C5"/>
    <w:rsid w:val="13BF3163"/>
    <w:rsid w:val="143833C9"/>
    <w:rsid w:val="147960C0"/>
    <w:rsid w:val="147A3DDA"/>
    <w:rsid w:val="14CF1E16"/>
    <w:rsid w:val="14F70D85"/>
    <w:rsid w:val="15191E01"/>
    <w:rsid w:val="153B37E8"/>
    <w:rsid w:val="15F250DF"/>
    <w:rsid w:val="16501966"/>
    <w:rsid w:val="16675836"/>
    <w:rsid w:val="167F5ECB"/>
    <w:rsid w:val="16832897"/>
    <w:rsid w:val="16847DAA"/>
    <w:rsid w:val="16B520BA"/>
    <w:rsid w:val="16CE2915"/>
    <w:rsid w:val="171137CA"/>
    <w:rsid w:val="172379F0"/>
    <w:rsid w:val="17272585"/>
    <w:rsid w:val="172D54B6"/>
    <w:rsid w:val="174A68BF"/>
    <w:rsid w:val="17DF4839"/>
    <w:rsid w:val="1815443F"/>
    <w:rsid w:val="18570A59"/>
    <w:rsid w:val="18595F23"/>
    <w:rsid w:val="186B23FE"/>
    <w:rsid w:val="187D13DB"/>
    <w:rsid w:val="18AD75C5"/>
    <w:rsid w:val="18ED484C"/>
    <w:rsid w:val="195C5995"/>
    <w:rsid w:val="19634E17"/>
    <w:rsid w:val="19A85788"/>
    <w:rsid w:val="19C40474"/>
    <w:rsid w:val="1A073EA9"/>
    <w:rsid w:val="1A906B82"/>
    <w:rsid w:val="1AF91D5B"/>
    <w:rsid w:val="1B1C4EF0"/>
    <w:rsid w:val="1B7E169A"/>
    <w:rsid w:val="1B953992"/>
    <w:rsid w:val="1BA2074C"/>
    <w:rsid w:val="1BAD17F2"/>
    <w:rsid w:val="1BE749C8"/>
    <w:rsid w:val="1C006A5D"/>
    <w:rsid w:val="1C6D688A"/>
    <w:rsid w:val="1C9A66E0"/>
    <w:rsid w:val="1CBA327F"/>
    <w:rsid w:val="1D31650D"/>
    <w:rsid w:val="1D3449D2"/>
    <w:rsid w:val="1D3537F6"/>
    <w:rsid w:val="1D557F73"/>
    <w:rsid w:val="1DAD2D4A"/>
    <w:rsid w:val="1DD05F14"/>
    <w:rsid w:val="1DE14254"/>
    <w:rsid w:val="1DE87350"/>
    <w:rsid w:val="1DF84F48"/>
    <w:rsid w:val="1E1E260B"/>
    <w:rsid w:val="1E200562"/>
    <w:rsid w:val="1E225083"/>
    <w:rsid w:val="1E395482"/>
    <w:rsid w:val="1E472CA5"/>
    <w:rsid w:val="1E6A6978"/>
    <w:rsid w:val="1E7D5579"/>
    <w:rsid w:val="1EFE4E7A"/>
    <w:rsid w:val="1F1E2130"/>
    <w:rsid w:val="1F577710"/>
    <w:rsid w:val="1F686132"/>
    <w:rsid w:val="20243774"/>
    <w:rsid w:val="202C75BD"/>
    <w:rsid w:val="208F2510"/>
    <w:rsid w:val="2160774C"/>
    <w:rsid w:val="21855B4D"/>
    <w:rsid w:val="21CB7DB8"/>
    <w:rsid w:val="226B06BE"/>
    <w:rsid w:val="22A047F0"/>
    <w:rsid w:val="22C47414"/>
    <w:rsid w:val="22D11CC4"/>
    <w:rsid w:val="22E80D0A"/>
    <w:rsid w:val="23321DB4"/>
    <w:rsid w:val="23355358"/>
    <w:rsid w:val="23741C73"/>
    <w:rsid w:val="238F3986"/>
    <w:rsid w:val="23D7408F"/>
    <w:rsid w:val="23F20FB3"/>
    <w:rsid w:val="24061916"/>
    <w:rsid w:val="24943579"/>
    <w:rsid w:val="24DA1AFB"/>
    <w:rsid w:val="24DC7D1A"/>
    <w:rsid w:val="25594BB1"/>
    <w:rsid w:val="255F19A0"/>
    <w:rsid w:val="25D75BBE"/>
    <w:rsid w:val="25F82FDB"/>
    <w:rsid w:val="26317A81"/>
    <w:rsid w:val="26507E64"/>
    <w:rsid w:val="265F5288"/>
    <w:rsid w:val="266B1235"/>
    <w:rsid w:val="271865C6"/>
    <w:rsid w:val="272E3DC9"/>
    <w:rsid w:val="274C4847"/>
    <w:rsid w:val="274C61F8"/>
    <w:rsid w:val="27975558"/>
    <w:rsid w:val="2798259C"/>
    <w:rsid w:val="27C40D3D"/>
    <w:rsid w:val="27D10A72"/>
    <w:rsid w:val="27FD37A1"/>
    <w:rsid w:val="280E4BA8"/>
    <w:rsid w:val="2834169C"/>
    <w:rsid w:val="28670DFA"/>
    <w:rsid w:val="290D214D"/>
    <w:rsid w:val="29A00A0E"/>
    <w:rsid w:val="29CB57E7"/>
    <w:rsid w:val="2A0400E4"/>
    <w:rsid w:val="2A0E007D"/>
    <w:rsid w:val="2A102415"/>
    <w:rsid w:val="2A5C7B5F"/>
    <w:rsid w:val="2AF5164E"/>
    <w:rsid w:val="2B1C3D0A"/>
    <w:rsid w:val="2B7B222A"/>
    <w:rsid w:val="2B992639"/>
    <w:rsid w:val="2BAE6273"/>
    <w:rsid w:val="2BBD3C0A"/>
    <w:rsid w:val="2C0D5F82"/>
    <w:rsid w:val="2C5F455E"/>
    <w:rsid w:val="2C6429DE"/>
    <w:rsid w:val="2C9D14EC"/>
    <w:rsid w:val="2CE62D79"/>
    <w:rsid w:val="2CF02873"/>
    <w:rsid w:val="2CF96D0B"/>
    <w:rsid w:val="2D15577A"/>
    <w:rsid w:val="2D187781"/>
    <w:rsid w:val="2D225B48"/>
    <w:rsid w:val="2D7B7E22"/>
    <w:rsid w:val="2D84743A"/>
    <w:rsid w:val="2D9164A7"/>
    <w:rsid w:val="2DD151BE"/>
    <w:rsid w:val="2E127E96"/>
    <w:rsid w:val="2E3B4524"/>
    <w:rsid w:val="2E820CF5"/>
    <w:rsid w:val="2E9C5898"/>
    <w:rsid w:val="2EBF28B2"/>
    <w:rsid w:val="2EDD54F0"/>
    <w:rsid w:val="2EFD68F9"/>
    <w:rsid w:val="2F68144B"/>
    <w:rsid w:val="2F6B5602"/>
    <w:rsid w:val="2F6D7936"/>
    <w:rsid w:val="2FC654A1"/>
    <w:rsid w:val="3052326F"/>
    <w:rsid w:val="30942767"/>
    <w:rsid w:val="309F33C4"/>
    <w:rsid w:val="31652DFE"/>
    <w:rsid w:val="31792462"/>
    <w:rsid w:val="319E29DB"/>
    <w:rsid w:val="31C25B3F"/>
    <w:rsid w:val="31FD4B34"/>
    <w:rsid w:val="321D45AF"/>
    <w:rsid w:val="32273A6B"/>
    <w:rsid w:val="325A6A2D"/>
    <w:rsid w:val="331346F9"/>
    <w:rsid w:val="3358091A"/>
    <w:rsid w:val="33D13C82"/>
    <w:rsid w:val="33DA0087"/>
    <w:rsid w:val="33DF7478"/>
    <w:rsid w:val="34756EBB"/>
    <w:rsid w:val="34D14981"/>
    <w:rsid w:val="34D35444"/>
    <w:rsid w:val="34F91FC9"/>
    <w:rsid w:val="3567676D"/>
    <w:rsid w:val="35705F0A"/>
    <w:rsid w:val="359059C1"/>
    <w:rsid w:val="35CB332A"/>
    <w:rsid w:val="360D6B8C"/>
    <w:rsid w:val="36143B17"/>
    <w:rsid w:val="36171B52"/>
    <w:rsid w:val="365A074A"/>
    <w:rsid w:val="367D757A"/>
    <w:rsid w:val="36852C07"/>
    <w:rsid w:val="370D08E6"/>
    <w:rsid w:val="37483A77"/>
    <w:rsid w:val="375D1161"/>
    <w:rsid w:val="377454DD"/>
    <w:rsid w:val="378A5F0B"/>
    <w:rsid w:val="378B6422"/>
    <w:rsid w:val="37EF46CE"/>
    <w:rsid w:val="382131BC"/>
    <w:rsid w:val="386A798F"/>
    <w:rsid w:val="39082236"/>
    <w:rsid w:val="39311DDE"/>
    <w:rsid w:val="39333EBE"/>
    <w:rsid w:val="393C7C9F"/>
    <w:rsid w:val="393E3B58"/>
    <w:rsid w:val="39AE2E91"/>
    <w:rsid w:val="39B50F65"/>
    <w:rsid w:val="39E77A43"/>
    <w:rsid w:val="39EC32C4"/>
    <w:rsid w:val="39EF6814"/>
    <w:rsid w:val="3A550120"/>
    <w:rsid w:val="3A8515C1"/>
    <w:rsid w:val="3AAB3E7E"/>
    <w:rsid w:val="3AF76BFD"/>
    <w:rsid w:val="3B227863"/>
    <w:rsid w:val="3B55089B"/>
    <w:rsid w:val="3B820949"/>
    <w:rsid w:val="3BD745D2"/>
    <w:rsid w:val="3BF34685"/>
    <w:rsid w:val="3C270936"/>
    <w:rsid w:val="3C4A7FF2"/>
    <w:rsid w:val="3C6B62C4"/>
    <w:rsid w:val="3C935BA4"/>
    <w:rsid w:val="3C9816E5"/>
    <w:rsid w:val="3C9C2C3D"/>
    <w:rsid w:val="3CA61E1C"/>
    <w:rsid w:val="3CB3282C"/>
    <w:rsid w:val="3CBF4731"/>
    <w:rsid w:val="3CD5513C"/>
    <w:rsid w:val="3D810846"/>
    <w:rsid w:val="3DE0204B"/>
    <w:rsid w:val="3DFA467C"/>
    <w:rsid w:val="3E71426C"/>
    <w:rsid w:val="3E823EDC"/>
    <w:rsid w:val="3EA040BD"/>
    <w:rsid w:val="3EE06780"/>
    <w:rsid w:val="3EEE104E"/>
    <w:rsid w:val="3F45038B"/>
    <w:rsid w:val="3F8B3304"/>
    <w:rsid w:val="3FDB1341"/>
    <w:rsid w:val="3FE54E5D"/>
    <w:rsid w:val="4006412C"/>
    <w:rsid w:val="40094104"/>
    <w:rsid w:val="404C0CF9"/>
    <w:rsid w:val="40640E2F"/>
    <w:rsid w:val="406B210E"/>
    <w:rsid w:val="409625CE"/>
    <w:rsid w:val="40C769F4"/>
    <w:rsid w:val="40CC25B9"/>
    <w:rsid w:val="40EF4BC4"/>
    <w:rsid w:val="410A762F"/>
    <w:rsid w:val="411B7A6D"/>
    <w:rsid w:val="41771692"/>
    <w:rsid w:val="41A16874"/>
    <w:rsid w:val="41E0111D"/>
    <w:rsid w:val="42114E2A"/>
    <w:rsid w:val="422A0699"/>
    <w:rsid w:val="42BC77A0"/>
    <w:rsid w:val="42CD3969"/>
    <w:rsid w:val="43581A3C"/>
    <w:rsid w:val="43991929"/>
    <w:rsid w:val="43AA0050"/>
    <w:rsid w:val="43BA2E27"/>
    <w:rsid w:val="43EA3B61"/>
    <w:rsid w:val="440135DD"/>
    <w:rsid w:val="44022A6D"/>
    <w:rsid w:val="440C1EBE"/>
    <w:rsid w:val="444326BE"/>
    <w:rsid w:val="44B11C56"/>
    <w:rsid w:val="44F7437F"/>
    <w:rsid w:val="450568A6"/>
    <w:rsid w:val="45122AB3"/>
    <w:rsid w:val="4522367B"/>
    <w:rsid w:val="45392E2E"/>
    <w:rsid w:val="45AE09DF"/>
    <w:rsid w:val="45E15A9F"/>
    <w:rsid w:val="46037F64"/>
    <w:rsid w:val="46084CA5"/>
    <w:rsid w:val="463141FE"/>
    <w:rsid w:val="464C5820"/>
    <w:rsid w:val="469310A3"/>
    <w:rsid w:val="469E39D0"/>
    <w:rsid w:val="46BE75A7"/>
    <w:rsid w:val="46DA53A3"/>
    <w:rsid w:val="46F8725E"/>
    <w:rsid w:val="4720748E"/>
    <w:rsid w:val="473E3C45"/>
    <w:rsid w:val="475E5FCD"/>
    <w:rsid w:val="47BB3B6F"/>
    <w:rsid w:val="47E52C6A"/>
    <w:rsid w:val="481F6CD6"/>
    <w:rsid w:val="487D7027"/>
    <w:rsid w:val="48B32061"/>
    <w:rsid w:val="48B81244"/>
    <w:rsid w:val="48D50370"/>
    <w:rsid w:val="49230C1D"/>
    <w:rsid w:val="496350A0"/>
    <w:rsid w:val="497F374F"/>
    <w:rsid w:val="49B131C0"/>
    <w:rsid w:val="49B3051D"/>
    <w:rsid w:val="49F20068"/>
    <w:rsid w:val="4A9C48A4"/>
    <w:rsid w:val="4B0A3801"/>
    <w:rsid w:val="4B3B6ECB"/>
    <w:rsid w:val="4B837DCC"/>
    <w:rsid w:val="4BA75DA8"/>
    <w:rsid w:val="4BA82023"/>
    <w:rsid w:val="4BD078A5"/>
    <w:rsid w:val="4BF11F5E"/>
    <w:rsid w:val="4C2F6183"/>
    <w:rsid w:val="4C5209B6"/>
    <w:rsid w:val="4CC1157E"/>
    <w:rsid w:val="4CC5609F"/>
    <w:rsid w:val="4CCF09C5"/>
    <w:rsid w:val="4CE03781"/>
    <w:rsid w:val="4CEA062F"/>
    <w:rsid w:val="4D2C22F0"/>
    <w:rsid w:val="4D3E36CD"/>
    <w:rsid w:val="4DAE3D7A"/>
    <w:rsid w:val="4DBF1835"/>
    <w:rsid w:val="4DF225B4"/>
    <w:rsid w:val="4E1B3978"/>
    <w:rsid w:val="4E224FA9"/>
    <w:rsid w:val="4E2772DA"/>
    <w:rsid w:val="4EA353EF"/>
    <w:rsid w:val="4EB15D5A"/>
    <w:rsid w:val="4EC4297F"/>
    <w:rsid w:val="4ED466F8"/>
    <w:rsid w:val="4EDB3249"/>
    <w:rsid w:val="4F5158A0"/>
    <w:rsid w:val="4F5F1932"/>
    <w:rsid w:val="4F604212"/>
    <w:rsid w:val="4FA4313B"/>
    <w:rsid w:val="4FAC7690"/>
    <w:rsid w:val="504547F9"/>
    <w:rsid w:val="504A2C1F"/>
    <w:rsid w:val="50566F38"/>
    <w:rsid w:val="50620057"/>
    <w:rsid w:val="50843E75"/>
    <w:rsid w:val="5186124B"/>
    <w:rsid w:val="51DD249B"/>
    <w:rsid w:val="5262213B"/>
    <w:rsid w:val="5293776A"/>
    <w:rsid w:val="52B940E4"/>
    <w:rsid w:val="53152E20"/>
    <w:rsid w:val="534F21D1"/>
    <w:rsid w:val="537E4DA3"/>
    <w:rsid w:val="53AD5614"/>
    <w:rsid w:val="53C6152C"/>
    <w:rsid w:val="53CB28CE"/>
    <w:rsid w:val="541025E1"/>
    <w:rsid w:val="543F74A5"/>
    <w:rsid w:val="545D57FE"/>
    <w:rsid w:val="545E2A56"/>
    <w:rsid w:val="55260E4B"/>
    <w:rsid w:val="55520E45"/>
    <w:rsid w:val="555A121E"/>
    <w:rsid w:val="557C3F0A"/>
    <w:rsid w:val="559B519E"/>
    <w:rsid w:val="55BB482D"/>
    <w:rsid w:val="55E86C54"/>
    <w:rsid w:val="5607550E"/>
    <w:rsid w:val="567B0759"/>
    <w:rsid w:val="56C56B1E"/>
    <w:rsid w:val="56D74122"/>
    <w:rsid w:val="574C6788"/>
    <w:rsid w:val="57D47847"/>
    <w:rsid w:val="57F778C8"/>
    <w:rsid w:val="58056027"/>
    <w:rsid w:val="582B2170"/>
    <w:rsid w:val="583D5469"/>
    <w:rsid w:val="591572E8"/>
    <w:rsid w:val="593F5F6D"/>
    <w:rsid w:val="594A7936"/>
    <w:rsid w:val="598E6D07"/>
    <w:rsid w:val="5A0513E5"/>
    <w:rsid w:val="5A0C59A8"/>
    <w:rsid w:val="5A2A7C56"/>
    <w:rsid w:val="5A443541"/>
    <w:rsid w:val="5A9162EB"/>
    <w:rsid w:val="5ACB62B6"/>
    <w:rsid w:val="5ADA71FD"/>
    <w:rsid w:val="5B360699"/>
    <w:rsid w:val="5B3851CB"/>
    <w:rsid w:val="5B5C7395"/>
    <w:rsid w:val="5B7841E8"/>
    <w:rsid w:val="5BAB6DAB"/>
    <w:rsid w:val="5BBD41C4"/>
    <w:rsid w:val="5BBE4FD6"/>
    <w:rsid w:val="5C755006"/>
    <w:rsid w:val="5CB353D5"/>
    <w:rsid w:val="5D5B0738"/>
    <w:rsid w:val="5D6633EA"/>
    <w:rsid w:val="5DC73739"/>
    <w:rsid w:val="5E2D0D5C"/>
    <w:rsid w:val="5E5B4902"/>
    <w:rsid w:val="5EA40E8F"/>
    <w:rsid w:val="5EE45508"/>
    <w:rsid w:val="5EEB6382"/>
    <w:rsid w:val="5EF06CEF"/>
    <w:rsid w:val="5EFA1101"/>
    <w:rsid w:val="5F011071"/>
    <w:rsid w:val="5F3718F7"/>
    <w:rsid w:val="5F7919A4"/>
    <w:rsid w:val="5F79364B"/>
    <w:rsid w:val="5F807946"/>
    <w:rsid w:val="5F8960A3"/>
    <w:rsid w:val="5FA2646B"/>
    <w:rsid w:val="5FB97542"/>
    <w:rsid w:val="60157413"/>
    <w:rsid w:val="60A54F9A"/>
    <w:rsid w:val="60E41644"/>
    <w:rsid w:val="60ED4B22"/>
    <w:rsid w:val="6104243F"/>
    <w:rsid w:val="61133040"/>
    <w:rsid w:val="614417A1"/>
    <w:rsid w:val="61480829"/>
    <w:rsid w:val="619111CF"/>
    <w:rsid w:val="620468E5"/>
    <w:rsid w:val="624D7D56"/>
    <w:rsid w:val="626059AD"/>
    <w:rsid w:val="62E332A9"/>
    <w:rsid w:val="63191D83"/>
    <w:rsid w:val="63234854"/>
    <w:rsid w:val="63774EB6"/>
    <w:rsid w:val="639505DC"/>
    <w:rsid w:val="639F5AB7"/>
    <w:rsid w:val="63F11811"/>
    <w:rsid w:val="64013678"/>
    <w:rsid w:val="645B6BE2"/>
    <w:rsid w:val="64D06152"/>
    <w:rsid w:val="64F76C99"/>
    <w:rsid w:val="65044748"/>
    <w:rsid w:val="65825AAC"/>
    <w:rsid w:val="65842F56"/>
    <w:rsid w:val="65AE5FC6"/>
    <w:rsid w:val="65B31A18"/>
    <w:rsid w:val="65C40E56"/>
    <w:rsid w:val="65FB6648"/>
    <w:rsid w:val="66B65801"/>
    <w:rsid w:val="66BC0323"/>
    <w:rsid w:val="677D7B24"/>
    <w:rsid w:val="678F3ED6"/>
    <w:rsid w:val="67B93315"/>
    <w:rsid w:val="67CE63DD"/>
    <w:rsid w:val="67F95C5D"/>
    <w:rsid w:val="680B6D20"/>
    <w:rsid w:val="680F5777"/>
    <w:rsid w:val="68BE71CD"/>
    <w:rsid w:val="68DD67B8"/>
    <w:rsid w:val="68E34B56"/>
    <w:rsid w:val="69693092"/>
    <w:rsid w:val="699B2A19"/>
    <w:rsid w:val="69B02CB6"/>
    <w:rsid w:val="6A144860"/>
    <w:rsid w:val="6A793B79"/>
    <w:rsid w:val="6A9B041B"/>
    <w:rsid w:val="6AB951F7"/>
    <w:rsid w:val="6AD22D9C"/>
    <w:rsid w:val="6AE77EFF"/>
    <w:rsid w:val="6B0C6016"/>
    <w:rsid w:val="6B454566"/>
    <w:rsid w:val="6B730D82"/>
    <w:rsid w:val="6BDA629F"/>
    <w:rsid w:val="6BED393A"/>
    <w:rsid w:val="6C00638C"/>
    <w:rsid w:val="6C055182"/>
    <w:rsid w:val="6C536C50"/>
    <w:rsid w:val="6C5A0A2D"/>
    <w:rsid w:val="6CE0465B"/>
    <w:rsid w:val="6CF75A03"/>
    <w:rsid w:val="6D912B46"/>
    <w:rsid w:val="6DBA09C2"/>
    <w:rsid w:val="6DDF75EF"/>
    <w:rsid w:val="6DFE6FF4"/>
    <w:rsid w:val="6E154549"/>
    <w:rsid w:val="6E227022"/>
    <w:rsid w:val="6E5C75A5"/>
    <w:rsid w:val="6E755891"/>
    <w:rsid w:val="6EAB30BC"/>
    <w:rsid w:val="6EF959D1"/>
    <w:rsid w:val="6EFA7D9E"/>
    <w:rsid w:val="6F3753FD"/>
    <w:rsid w:val="6F423A92"/>
    <w:rsid w:val="6F466AA1"/>
    <w:rsid w:val="6F8A5B29"/>
    <w:rsid w:val="6FB256EA"/>
    <w:rsid w:val="6FC32F98"/>
    <w:rsid w:val="70081BB8"/>
    <w:rsid w:val="70981B97"/>
    <w:rsid w:val="7113250D"/>
    <w:rsid w:val="71255393"/>
    <w:rsid w:val="71433027"/>
    <w:rsid w:val="719C1D09"/>
    <w:rsid w:val="71BC219B"/>
    <w:rsid w:val="72337677"/>
    <w:rsid w:val="724C3AF9"/>
    <w:rsid w:val="72800C3A"/>
    <w:rsid w:val="72D26E63"/>
    <w:rsid w:val="731C44E6"/>
    <w:rsid w:val="73C14BD4"/>
    <w:rsid w:val="740A70E1"/>
    <w:rsid w:val="742B7A08"/>
    <w:rsid w:val="749411FE"/>
    <w:rsid w:val="74D4248D"/>
    <w:rsid w:val="75191B13"/>
    <w:rsid w:val="757A1E04"/>
    <w:rsid w:val="75BB586D"/>
    <w:rsid w:val="760C7053"/>
    <w:rsid w:val="76494375"/>
    <w:rsid w:val="765701DA"/>
    <w:rsid w:val="76917601"/>
    <w:rsid w:val="772C2EF2"/>
    <w:rsid w:val="77374763"/>
    <w:rsid w:val="773770B5"/>
    <w:rsid w:val="775B16C6"/>
    <w:rsid w:val="7769144F"/>
    <w:rsid w:val="778C6C48"/>
    <w:rsid w:val="77BA09B5"/>
    <w:rsid w:val="77FC3BE7"/>
    <w:rsid w:val="78000A78"/>
    <w:rsid w:val="782E6676"/>
    <w:rsid w:val="78B40E93"/>
    <w:rsid w:val="78EA735A"/>
    <w:rsid w:val="7934041F"/>
    <w:rsid w:val="793611FF"/>
    <w:rsid w:val="797254CD"/>
    <w:rsid w:val="7A3778CD"/>
    <w:rsid w:val="7A415872"/>
    <w:rsid w:val="7A8E5DD1"/>
    <w:rsid w:val="7AB361A6"/>
    <w:rsid w:val="7AB37F96"/>
    <w:rsid w:val="7ABB13A2"/>
    <w:rsid w:val="7AC33791"/>
    <w:rsid w:val="7AE31597"/>
    <w:rsid w:val="7AEF4A5D"/>
    <w:rsid w:val="7AEF4FCF"/>
    <w:rsid w:val="7B473A05"/>
    <w:rsid w:val="7BD451FC"/>
    <w:rsid w:val="7C254D34"/>
    <w:rsid w:val="7C492641"/>
    <w:rsid w:val="7C4D3D1C"/>
    <w:rsid w:val="7C7C0936"/>
    <w:rsid w:val="7CA47C2B"/>
    <w:rsid w:val="7CAB563A"/>
    <w:rsid w:val="7CB22835"/>
    <w:rsid w:val="7CC36E12"/>
    <w:rsid w:val="7D322B5D"/>
    <w:rsid w:val="7D4A70A0"/>
    <w:rsid w:val="7D7E14EB"/>
    <w:rsid w:val="7D957532"/>
    <w:rsid w:val="7DA02378"/>
    <w:rsid w:val="7DBA2711"/>
    <w:rsid w:val="7E364DF9"/>
    <w:rsid w:val="7E5271A3"/>
    <w:rsid w:val="7E985D56"/>
    <w:rsid w:val="7F3A61BD"/>
    <w:rsid w:val="7F483113"/>
    <w:rsid w:val="7F5764B4"/>
    <w:rsid w:val="7F7A7962"/>
    <w:rsid w:val="7F870CFE"/>
    <w:rsid w:val="7F911A9D"/>
    <w:rsid w:val="7F990F33"/>
    <w:rsid w:val="7FDC6B23"/>
    <w:rsid w:val="7FFA6165"/>
    <w:rsid w:val="99BF6867"/>
    <w:rsid w:val="C6BB5398"/>
    <w:rsid w:val="FDE44101"/>
    <w:rsid w:val="FEF547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pPr>
      <w:spacing w:beforeLines="30"/>
    </w:pPr>
    <w:rPr>
      <w:rFonts w:ascii="仿宋_GB2312" w:eastAsia="仿宋_GB2312"/>
      <w:kern w:val="0"/>
      <w:sz w:val="24"/>
      <w:szCs w:val="20"/>
    </w:rPr>
  </w:style>
  <w:style w:type="paragraph" w:styleId="6">
    <w:name w:val="toc 3"/>
    <w:basedOn w:val="1"/>
    <w:next w:val="1"/>
    <w:qFormat/>
    <w:uiPriority w:val="39"/>
    <w:pPr>
      <w:ind w:left="840" w:leftChars="400"/>
    </w:pPr>
  </w:style>
  <w:style w:type="paragraph" w:styleId="7">
    <w:name w:val="Balloon Text"/>
    <w:basedOn w:val="1"/>
    <w:link w:val="2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39"/>
    <w:pPr>
      <w:ind w:left="420" w:leftChars="200"/>
    </w:pPr>
  </w:style>
  <w:style w:type="character" w:styleId="14">
    <w:name w:val="Strong"/>
    <w:qFormat/>
    <w:uiPriority w:val="99"/>
    <w:rPr>
      <w:rFonts w:cs="Times New Roman"/>
      <w:b/>
    </w:rPr>
  </w:style>
  <w:style w:type="character" w:styleId="15">
    <w:name w:val="Hyperlink"/>
    <w:basedOn w:val="13"/>
    <w:unhideWhenUsed/>
    <w:qFormat/>
    <w:uiPriority w:val="99"/>
    <w:rPr>
      <w:color w:val="0563C1" w:themeColor="hyperlink"/>
      <w:u w:val="single"/>
    </w:rPr>
  </w:style>
  <w:style w:type="character" w:styleId="16">
    <w:name w:val="annotation reference"/>
    <w:basedOn w:val="13"/>
    <w:qFormat/>
    <w:uiPriority w:val="0"/>
    <w:rPr>
      <w:sz w:val="21"/>
      <w:szCs w:val="21"/>
    </w:rPr>
  </w:style>
  <w:style w:type="character" w:customStyle="1" w:styleId="17">
    <w:name w:val="标题 1 Char"/>
    <w:link w:val="2"/>
    <w:qFormat/>
    <w:locked/>
    <w:uiPriority w:val="9"/>
    <w:rPr>
      <w:b/>
      <w:bCs/>
      <w:kern w:val="44"/>
      <w:sz w:val="44"/>
      <w:szCs w:val="44"/>
    </w:rPr>
  </w:style>
  <w:style w:type="paragraph" w:customStyle="1" w:styleId="18">
    <w:name w:val="列出段落1"/>
    <w:basedOn w:val="1"/>
    <w:qFormat/>
    <w:uiPriority w:val="34"/>
    <w:pPr>
      <w:ind w:firstLine="420" w:firstLineChars="200"/>
    </w:pPr>
  </w:style>
  <w:style w:type="character" w:customStyle="1" w:styleId="19">
    <w:name w:val="标题 2 Char"/>
    <w:link w:val="3"/>
    <w:qFormat/>
    <w:locked/>
    <w:uiPriority w:val="9"/>
    <w:rPr>
      <w:rFonts w:ascii="Cambria" w:hAnsi="Cambria"/>
      <w:b/>
      <w:bCs/>
      <w:sz w:val="32"/>
      <w:szCs w:val="32"/>
    </w:rPr>
  </w:style>
  <w:style w:type="paragraph" w:customStyle="1" w:styleId="20">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
    <w:name w:val="正文1"/>
    <w:qFormat/>
    <w:uiPriority w:val="0"/>
    <w:pPr>
      <w:widowControl w:val="0"/>
      <w:jc w:val="both"/>
    </w:pPr>
    <w:rPr>
      <w:rFonts w:ascii="Times New Roman" w:hAnsi="Times New Roman" w:eastAsia="宋体" w:cs="Times New Roman"/>
      <w:sz w:val="32"/>
      <w:lang w:val="en-US" w:eastAsia="zh-CN" w:bidi="ar-SA"/>
    </w:rPr>
  </w:style>
  <w:style w:type="character" w:customStyle="1" w:styleId="24">
    <w:name w:val="默认段落字体1"/>
    <w:qFormat/>
    <w:uiPriority w:val="0"/>
  </w:style>
  <w:style w:type="character" w:customStyle="1" w:styleId="25">
    <w:name w:val="默认段落字体5"/>
    <w:qFormat/>
    <w:uiPriority w:val="0"/>
    <w:rPr>
      <w:sz w:val="22"/>
    </w:rPr>
  </w:style>
  <w:style w:type="character" w:customStyle="1" w:styleId="26">
    <w:name w:val="font21"/>
    <w:basedOn w:val="13"/>
    <w:qFormat/>
    <w:uiPriority w:val="0"/>
    <w:rPr>
      <w:rFonts w:hint="eastAsia" w:ascii="宋体" w:hAnsi="宋体" w:eastAsia="宋体" w:cs="宋体"/>
      <w:color w:val="000000"/>
      <w:sz w:val="36"/>
      <w:szCs w:val="36"/>
      <w:u w:val="none"/>
    </w:rPr>
  </w:style>
  <w:style w:type="character" w:customStyle="1" w:styleId="27">
    <w:name w:val="font11"/>
    <w:basedOn w:val="13"/>
    <w:qFormat/>
    <w:uiPriority w:val="0"/>
    <w:rPr>
      <w:rFonts w:hint="eastAsia" w:ascii="仿宋_GB2312" w:eastAsia="仿宋_GB2312" w:cs="仿宋_GB2312"/>
      <w:color w:val="000000"/>
      <w:sz w:val="18"/>
      <w:szCs w:val="18"/>
      <w:u w:val="none"/>
    </w:rPr>
  </w:style>
  <w:style w:type="character" w:customStyle="1" w:styleId="28">
    <w:name w:val="font31"/>
    <w:basedOn w:val="13"/>
    <w:qFormat/>
    <w:uiPriority w:val="0"/>
    <w:rPr>
      <w:rFonts w:hint="eastAsia" w:ascii="仿宋_GB2312" w:eastAsia="仿宋_GB2312" w:cs="仿宋_GB2312"/>
      <w:color w:val="000000"/>
      <w:sz w:val="24"/>
      <w:szCs w:val="24"/>
      <w:u w:val="none"/>
    </w:rPr>
  </w:style>
  <w:style w:type="character" w:customStyle="1" w:styleId="29">
    <w:name w:val="批注框文本 Char"/>
    <w:basedOn w:val="13"/>
    <w:link w:val="7"/>
    <w:qFormat/>
    <w:uiPriority w:val="0"/>
    <w:rPr>
      <w:rFonts w:asciiTheme="minorHAnsi" w:hAnsiTheme="minorHAnsi" w:eastAsiaTheme="minorEastAsia" w:cstheme="minorBidi"/>
      <w:kern w:val="2"/>
      <w:sz w:val="18"/>
      <w:szCs w:val="18"/>
    </w:rPr>
  </w:style>
  <w:style w:type="character" w:customStyle="1" w:styleId="30">
    <w:name w:val="标题 2 Char1"/>
    <w:link w:val="3"/>
    <w:qFormat/>
    <w:locked/>
    <w:uiPriority w:val="9"/>
    <w:rPr>
      <w:rFonts w:ascii="Cambria" w:hAnsi="Cambria" w:eastAsia="宋体" w:cs="Times New Roman"/>
      <w:b/>
      <w:bCs/>
      <w:kern w:val="2"/>
      <w:sz w:val="32"/>
      <w:szCs w:val="32"/>
    </w:rPr>
  </w:style>
  <w:style w:type="paragraph" w:customStyle="1" w:styleId="31">
    <w:name w:val="WPSOffice手动目录 3"/>
    <w:qFormat/>
    <w:uiPriority w:val="0"/>
    <w:pPr>
      <w:ind w:left="400" w:leftChars="400"/>
    </w:pPr>
    <w:rPr>
      <w:rFonts w:ascii="Calibri" w:hAnsi="Calibri" w:eastAsia="宋体" w:cs="Times New Roman"/>
      <w:lang w:val="en-US" w:eastAsia="zh-CN" w:bidi="ar-SA"/>
    </w:rPr>
  </w:style>
  <w:style w:type="paragraph"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Sheet1!$B$2</c:f>
              <c:strCache>
                <c:ptCount val="1"/>
                <c:pt idx="0">
                  <c:v>收、支总计</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Sheet1!$A$3:$A$4</c:f>
              <c:strCache>
                <c:ptCount val="2"/>
                <c:pt idx="0">
                  <c:v>2017年</c:v>
                </c:pt>
                <c:pt idx="1">
                  <c:v>2018年</c:v>
                </c:pt>
              </c:strCache>
            </c:strRef>
          </c:cat>
          <c:val>
            <c:numRef>
              <c:f>Sheet1!$B$3:$B$4</c:f>
              <c:numCache>
                <c:formatCode>General</c:formatCode>
                <c:ptCount val="2"/>
                <c:pt idx="0">
                  <c:v>144541.08</c:v>
                </c:pt>
                <c:pt idx="1">
                  <c:v>171472.38</c:v>
                </c:pt>
              </c:numCache>
            </c:numRef>
          </c:val>
        </c:ser>
        <c:dLbls>
          <c:showLegendKey val="false"/>
          <c:showVal val="true"/>
          <c:showCatName val="false"/>
          <c:showSerName val="false"/>
          <c:showPercent val="false"/>
          <c:showBubbleSize val="false"/>
        </c:dLbls>
        <c:gapWidth val="75"/>
        <c:axId val="134383488"/>
        <c:axId val="156382336"/>
      </c:barChart>
      <c:catAx>
        <c:axId val="134383488"/>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56382336"/>
        <c:crosses val="autoZero"/>
        <c:auto val="true"/>
        <c:lblAlgn val="ctr"/>
        <c:lblOffset val="100"/>
        <c:noMultiLvlLbl val="false"/>
      </c:catAx>
      <c:valAx>
        <c:axId val="156382336"/>
        <c:scaling>
          <c:orientation val="minMax"/>
        </c:scaling>
        <c:delete val="fals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4383488"/>
        <c:crosses val="autoZero"/>
        <c:crossBetween val="between"/>
      </c:valAx>
    </c:plotArea>
    <c:legend>
      <c:legendPos val="b"/>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Lbls>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Sheet1!$A$25:$A$26</c:f>
              <c:strCache>
                <c:ptCount val="2"/>
                <c:pt idx="0">
                  <c:v>财政拨款收入</c:v>
                </c:pt>
                <c:pt idx="1">
                  <c:v>事业收入</c:v>
                </c:pt>
              </c:strCache>
            </c:strRef>
          </c:cat>
          <c:val>
            <c:numRef>
              <c:f>Sheet1!$B$25:$B$26</c:f>
              <c:numCache>
                <c:formatCode>General</c:formatCode>
                <c:ptCount val="2"/>
                <c:pt idx="0">
                  <c:v>3895.12</c:v>
                </c:pt>
                <c:pt idx="1">
                  <c:v>163472.34</c:v>
                </c:pt>
              </c:numCache>
            </c:numRef>
          </c:val>
        </c:ser>
        <c:dLbls>
          <c:showLegendKey val="false"/>
          <c:showVal val="false"/>
          <c:showCatName val="false"/>
          <c:showSerName val="false"/>
          <c:showPercent val="tru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10"/>
    </mc:Choice>
    <mc:Fallback>
      <c:style val="10"/>
    </mc:Fallback>
  </mc:AlternateContent>
  <c:chart>
    <c:autoTitleDeleted val="true"/>
    <c:plotArea>
      <c:layout/>
      <c:pieChart>
        <c:varyColors val="true"/>
        <c:ser>
          <c:idx val="0"/>
          <c:order val="0"/>
          <c:explosion val="0"/>
          <c:dPt>
            <c:idx val="0"/>
            <c:bubble3D val="false"/>
          </c:dPt>
          <c:dPt>
            <c:idx val="1"/>
            <c:bubble3D val="false"/>
          </c:dPt>
          <c:dLbls>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Sheet1!$A$31:$A$32</c:f>
              <c:strCache>
                <c:ptCount val="2"/>
                <c:pt idx="0">
                  <c:v>基本支出</c:v>
                </c:pt>
                <c:pt idx="1">
                  <c:v>项目支出</c:v>
                </c:pt>
              </c:strCache>
            </c:strRef>
          </c:cat>
          <c:val>
            <c:numRef>
              <c:f>Sheet1!$B$31:$B$32</c:f>
              <c:numCache>
                <c:formatCode>General</c:formatCode>
                <c:ptCount val="2"/>
                <c:pt idx="0">
                  <c:v>152006.24</c:v>
                </c:pt>
                <c:pt idx="1">
                  <c:v>2339.42</c:v>
                </c:pt>
              </c:numCache>
            </c:numRef>
          </c:val>
        </c:ser>
        <c:dLbls>
          <c:showLegendKey val="false"/>
          <c:showVal val="false"/>
          <c:showCatName val="false"/>
          <c:showSerName val="false"/>
          <c:showPercent val="true"/>
          <c:showBubbleSize val="false"/>
          <c:showLeaderLines val="true"/>
        </c:dLbls>
        <c:firstSliceAng val="0"/>
      </c:pieChart>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Sheet1!$B$37</c:f>
              <c:strCache>
                <c:ptCount val="1"/>
                <c:pt idx="0">
                  <c:v>财政拨款收、支总计</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Sheet1!$A$38:$A$39</c:f>
              <c:strCache>
                <c:ptCount val="2"/>
                <c:pt idx="0">
                  <c:v>2017年</c:v>
                </c:pt>
                <c:pt idx="1">
                  <c:v>2018年</c:v>
                </c:pt>
              </c:strCache>
            </c:strRef>
          </c:cat>
          <c:val>
            <c:numRef>
              <c:f>Sheet1!$B$38:$B$39</c:f>
              <c:numCache>
                <c:formatCode>General</c:formatCode>
                <c:ptCount val="2"/>
                <c:pt idx="0">
                  <c:v>6672.04</c:v>
                </c:pt>
                <c:pt idx="1">
                  <c:v>7943.99</c:v>
                </c:pt>
              </c:numCache>
            </c:numRef>
          </c:val>
        </c:ser>
        <c:dLbls>
          <c:showLegendKey val="false"/>
          <c:showVal val="true"/>
          <c:showCatName val="false"/>
          <c:showSerName val="false"/>
          <c:showPercent val="false"/>
          <c:showBubbleSize val="false"/>
        </c:dLbls>
        <c:gapWidth val="75"/>
        <c:axId val="158285184"/>
        <c:axId val="158423296"/>
      </c:barChart>
      <c:catAx>
        <c:axId val="158285184"/>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58423296"/>
        <c:crosses val="autoZero"/>
        <c:auto val="true"/>
        <c:lblAlgn val="ctr"/>
        <c:lblOffset val="100"/>
        <c:noMultiLvlLbl val="false"/>
      </c:catAx>
      <c:valAx>
        <c:axId val="158423296"/>
        <c:scaling>
          <c:orientation val="minMax"/>
        </c:scaling>
        <c:delete val="fals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58285184"/>
        <c:crosses val="autoZero"/>
        <c:crossBetween val="between"/>
      </c:valAx>
    </c:plotArea>
    <c:legend>
      <c:legendPos val="b"/>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Sheet1!$B$42</c:f>
              <c:strCache>
                <c:ptCount val="1"/>
                <c:pt idx="0">
                  <c:v>一般公共预算财政拨款支出总计</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Sheet1!$A$43:$A$44</c:f>
              <c:strCache>
                <c:ptCount val="2"/>
                <c:pt idx="0">
                  <c:v>2017年</c:v>
                </c:pt>
                <c:pt idx="1">
                  <c:v>2018年</c:v>
                </c:pt>
              </c:strCache>
            </c:strRef>
          </c:cat>
          <c:val>
            <c:numRef>
              <c:f>Sheet1!$B$43:$B$44</c:f>
              <c:numCache>
                <c:formatCode>General</c:formatCode>
                <c:ptCount val="2"/>
                <c:pt idx="0">
                  <c:v>2623.17</c:v>
                </c:pt>
                <c:pt idx="1">
                  <c:v>3767.54</c:v>
                </c:pt>
              </c:numCache>
            </c:numRef>
          </c:val>
        </c:ser>
        <c:dLbls>
          <c:showLegendKey val="false"/>
          <c:showVal val="true"/>
          <c:showCatName val="false"/>
          <c:showSerName val="false"/>
          <c:showPercent val="false"/>
          <c:showBubbleSize val="false"/>
        </c:dLbls>
        <c:gapWidth val="75"/>
        <c:axId val="439628928"/>
        <c:axId val="439675904"/>
      </c:barChart>
      <c:catAx>
        <c:axId val="439628928"/>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439675904"/>
        <c:crosses val="autoZero"/>
        <c:auto val="true"/>
        <c:lblAlgn val="ctr"/>
        <c:lblOffset val="100"/>
        <c:noMultiLvlLbl val="false"/>
      </c:catAx>
      <c:valAx>
        <c:axId val="439675904"/>
        <c:scaling>
          <c:orientation val="minMax"/>
        </c:scaling>
        <c:delete val="fals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439628928"/>
        <c:crosses val="autoZero"/>
        <c:crossBetween val="between"/>
      </c:valAx>
    </c:plotArea>
    <c:legend>
      <c:legendPos val="b"/>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10"/>
    </mc:Choice>
    <mc:Fallback>
      <c:style val="10"/>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2"/>
              <c:layout>
                <c:manualLayout>
                  <c:x val="-0.241697725284339"/>
                  <c:y val="0.181818181818182"/>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Sheet1!$A$47:$A$49</c:f>
              <c:strCache>
                <c:ptCount val="3"/>
                <c:pt idx="0">
                  <c:v>科学技术类</c:v>
                </c:pt>
                <c:pt idx="1">
                  <c:v>医疗卫生与计划生育类</c:v>
                </c:pt>
                <c:pt idx="2">
                  <c:v>社会保障和就业类</c:v>
                </c:pt>
              </c:strCache>
            </c:strRef>
          </c:cat>
          <c:val>
            <c:numRef>
              <c:f>Sheet1!$B$47:$B$49</c:f>
              <c:numCache>
                <c:formatCode>General</c:formatCode>
                <c:ptCount val="3"/>
                <c:pt idx="0">
                  <c:v>504.38</c:v>
                </c:pt>
                <c:pt idx="1">
                  <c:v>3262.23</c:v>
                </c:pt>
                <c:pt idx="2">
                  <c:v>0.93</c:v>
                </c:pt>
              </c:numCache>
            </c:numRef>
          </c:val>
        </c:ser>
        <c:dLbls>
          <c:showLegendKey val="false"/>
          <c:showVal val="true"/>
          <c:showCatName val="true"/>
          <c:showSerName val="false"/>
          <c:showPercent val="false"/>
          <c:showBubbleSize val="false"/>
          <c:showLeaderLines val="true"/>
        </c:dLbls>
        <c:firstSliceAng val="0"/>
      </c:pieChart>
    </c:plotArea>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1885</Words>
  <Characters>10748</Characters>
  <Lines>89</Lines>
  <Paragraphs>25</Paragraphs>
  <TotalTime>459</TotalTime>
  <ScaleCrop>false</ScaleCrop>
  <LinksUpToDate>false</LinksUpToDate>
  <CharactersWithSpaces>12608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2021-08-14T23:01:00Z</dcterms:created>
  <dc:creator>Administrator</dc:creator>
  <cp:lastModifiedBy>＾笑颜＾</cp:lastModifiedBy>
  <cp:lastPrinted>2021-11-27T18:20:00Z</cp:lastPrinted>
  <dcterms:modified xsi:type="dcterms:W3CDTF">2023-09-18T17:28:33Z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37FFB12558144733BCD3F22F2AA1CC8D</vt:lpwstr>
  </property>
</Properties>
</file>