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color w:val="000000"/>
          <w:sz w:val="72"/>
          <w:szCs w:val="72"/>
        </w:rPr>
      </w:pPr>
      <w:bookmarkStart w:id="0" w:name="_Toc15396597"/>
      <w:bookmarkStart w:id="1" w:name="_Toc15378441"/>
      <w:bookmarkStart w:id="2" w:name="_Toc15377425"/>
      <w:bookmarkStart w:id="3" w:name="_Toc15396475"/>
      <w:bookmarkStart w:id="4" w:name="_Toc15377193"/>
    </w:p>
    <w:p>
      <w:pPr>
        <w:pStyle w:val="2"/>
      </w:pPr>
    </w:p>
    <w:p>
      <w:pPr>
        <w:adjustRightInd w:val="0"/>
        <w:snapToGrid w:val="0"/>
        <w:spacing w:line="360" w:lineRule="auto"/>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5" w:name="_Toc9360"/>
      <w:bookmarkStart w:id="6" w:name="_Toc32676"/>
      <w:bookmarkStart w:id="7" w:name="_Toc13828"/>
      <w:bookmarkStart w:id="8" w:name="_Toc13991"/>
      <w:bookmarkStart w:id="9" w:name="_Toc4522"/>
      <w:r>
        <w:rPr>
          <w:rFonts w:ascii="黑体" w:hAnsi="黑体" w:eastAsia="黑体"/>
          <w:color w:val="000000"/>
          <w:sz w:val="72"/>
          <w:szCs w:val="72"/>
        </w:rPr>
        <w:t>20</w:t>
      </w:r>
      <w:r>
        <w:rPr>
          <w:rFonts w:hint="eastAsia" w:ascii="黑体" w:hAnsi="黑体" w:eastAsia="黑体"/>
          <w:color w:val="000000"/>
          <w:sz w:val="72"/>
          <w:szCs w:val="72"/>
        </w:rPr>
        <w:t>19</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End w:id="6"/>
      <w:bookmarkEnd w:id="7"/>
      <w:bookmarkEnd w:id="8"/>
      <w:bookmarkEnd w:id="9"/>
    </w:p>
    <w:p>
      <w:pPr>
        <w:adjustRightInd w:val="0"/>
        <w:snapToGrid w:val="0"/>
        <w:spacing w:line="360" w:lineRule="auto"/>
        <w:jc w:val="center"/>
        <w:outlineLvl w:val="0"/>
        <w:rPr>
          <w:rFonts w:ascii="方正小标宋简体" w:hAnsi="宋体" w:eastAsia="方正小标宋简体"/>
          <w:color w:val="000000"/>
          <w:sz w:val="72"/>
          <w:szCs w:val="72"/>
        </w:rPr>
      </w:pPr>
      <w:bookmarkStart w:id="10" w:name="_Toc15396476"/>
      <w:bookmarkStart w:id="11" w:name="_Toc15306268"/>
      <w:bookmarkStart w:id="12" w:name="_Toc15378442"/>
      <w:bookmarkStart w:id="13" w:name="_Toc15396598"/>
      <w:bookmarkStart w:id="14" w:name="_Toc15377194"/>
      <w:bookmarkStart w:id="15" w:name="_Toc15377426"/>
      <w:bookmarkStart w:id="16" w:name="_Toc31439"/>
      <w:bookmarkStart w:id="17" w:name="_Toc21982"/>
      <w:bookmarkStart w:id="18" w:name="_Toc13387"/>
      <w:bookmarkStart w:id="19" w:name="_Toc13007"/>
      <w:bookmarkStart w:id="20" w:name="_Toc5499"/>
      <w:r>
        <w:rPr>
          <w:rFonts w:hint="eastAsia" w:ascii="方正小标宋简体" w:hAnsi="宋体" w:eastAsia="方正小标宋简体"/>
          <w:color w:val="000000"/>
          <w:sz w:val="72"/>
          <w:szCs w:val="72"/>
        </w:rPr>
        <w:t>遂宁市中心医院部门决算</w:t>
      </w:r>
      <w:bookmarkEnd w:id="10"/>
      <w:bookmarkEnd w:id="11"/>
      <w:bookmarkEnd w:id="12"/>
      <w:bookmarkEnd w:id="13"/>
      <w:bookmarkEnd w:id="14"/>
      <w:bookmarkEnd w:id="15"/>
      <w:r>
        <w:rPr>
          <w:rFonts w:hint="eastAsia" w:ascii="方正小标宋简体" w:hAnsi="宋体" w:eastAsia="方正小标宋简体"/>
          <w:color w:val="000000"/>
          <w:sz w:val="72"/>
          <w:szCs w:val="72"/>
        </w:rPr>
        <w:t>报告</w:t>
      </w:r>
      <w:bookmarkEnd w:id="16"/>
      <w:bookmarkEnd w:id="17"/>
      <w:bookmarkEnd w:id="18"/>
      <w:bookmarkEnd w:id="19"/>
      <w:bookmarkEnd w:id="20"/>
    </w:p>
    <w:p>
      <w:pPr>
        <w:adjustRightInd w:val="0"/>
        <w:snapToGrid w:val="0"/>
        <w:spacing w:line="360" w:lineRule="auto"/>
        <w:jc w:val="center"/>
        <w:rPr>
          <w:rFonts w:ascii="方正小标宋简体" w:hAnsi="宋体" w:eastAsia="方正小标宋简体"/>
          <w:color w:val="000000"/>
          <w:sz w:val="72"/>
          <w:szCs w:val="72"/>
        </w:rPr>
      </w:pPr>
    </w:p>
    <w:p>
      <w:pPr>
        <w:adjustRightInd w:val="0"/>
        <w:snapToGrid w:val="0"/>
        <w:spacing w:line="360" w:lineRule="auto"/>
        <w:jc w:val="center"/>
        <w:rPr>
          <w:rFonts w:ascii="方正小标宋简体" w:hAnsi="宋体" w:eastAsia="方正小标宋简体"/>
          <w:color w:val="000000"/>
          <w:sz w:val="72"/>
          <w:szCs w:val="72"/>
        </w:rPr>
      </w:pPr>
    </w:p>
    <w:p>
      <w:pPr>
        <w:adjustRightInd w:val="0"/>
        <w:snapToGrid w:val="0"/>
        <w:spacing w:line="360" w:lineRule="auto"/>
        <w:rPr>
          <w:rFonts w:ascii="方正小标宋简体" w:hAnsi="宋体" w:eastAsia="方正小标宋简体"/>
          <w:color w:val="000000"/>
          <w:sz w:val="72"/>
          <w:szCs w:val="72"/>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sectPr>
          <w:pgSz w:w="11906" w:h="16838"/>
          <w:pgMar w:top="1440" w:right="1800" w:bottom="1440" w:left="1800" w:header="851" w:footer="992" w:gutter="0"/>
          <w:pgNumType w:start="1"/>
          <w:cols w:space="425" w:num="1"/>
          <w:docGrid w:type="lines" w:linePitch="312" w:charSpace="0"/>
        </w:sect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ascii="黑体" w:hAnsi="黑体" w:eastAsia="黑体"/>
          <w:sz w:val="28"/>
          <w:szCs w:val="28"/>
        </w:rPr>
      </w:pPr>
      <w:r>
        <w:rPr>
          <w:rFonts w:hint="eastAsia" w:ascii="黑体" w:hAnsi="黑体" w:eastAsia="黑体"/>
          <w:color w:val="000000"/>
          <w:sz w:val="48"/>
          <w:szCs w:val="48"/>
        </w:rPr>
        <w:t>目录</w:t>
      </w:r>
    </w:p>
    <w:p/>
    <w:sdt>
      <w:sdtPr>
        <w:rPr>
          <w:rFonts w:ascii="宋体" w:hAnsi="宋体" w:eastAsia="宋体"/>
        </w:rPr>
        <w:id w:val="147475979"/>
        <w:docPartObj>
          <w:docPartGallery w:val="Table of Contents"/>
          <w:docPartUnique/>
        </w:docPartObj>
      </w:sdtPr>
      <w:sdtEndPr>
        <w:rPr>
          <w:rFonts w:ascii="宋体" w:hAnsi="宋体" w:eastAsia="宋体"/>
        </w:rPr>
      </w:sdtEndPr>
      <w:sdtContent>
        <w:p>
          <w:pPr>
            <w:jc w:val="center"/>
          </w:pPr>
          <w:r>
            <w:fldChar w:fldCharType="begin"/>
          </w:r>
          <w:r>
            <w:instrText xml:space="preserve">TOC \o "1-3" \h \u </w:instrText>
          </w:r>
          <w:r>
            <w:fldChar w:fldCharType="separate"/>
          </w:r>
        </w:p>
        <w:p>
          <w:pPr>
            <w:pStyle w:val="19"/>
            <w:tabs>
              <w:tab w:val="right" w:leader="dot" w:pos="8306"/>
            </w:tabs>
          </w:pPr>
          <w:r>
            <w:fldChar w:fldCharType="begin"/>
          </w:r>
          <w:r>
            <w:instrText xml:space="preserve"> HYPERLINK \l "_Toc23753" </w:instrText>
          </w:r>
          <w:r>
            <w:fldChar w:fldCharType="separate"/>
          </w:r>
          <w:r>
            <w:rPr>
              <w:rFonts w:hint="eastAsia" w:ascii="黑体" w:hAnsi="黑体" w:eastAsia="黑体"/>
            </w:rPr>
            <w:t>第一部分部门概况</w:t>
          </w:r>
          <w:r>
            <w:tab/>
          </w:r>
          <w:r>
            <w:fldChar w:fldCharType="end"/>
          </w:r>
        </w:p>
        <w:p>
          <w:pPr>
            <w:pStyle w:val="20"/>
            <w:tabs>
              <w:tab w:val="right" w:leader="dot" w:pos="8306"/>
            </w:tabs>
            <w:ind w:left="420"/>
          </w:pPr>
          <w:r>
            <w:fldChar w:fldCharType="begin"/>
          </w:r>
          <w:r>
            <w:instrText xml:space="preserve"> HYPERLINK \l "_Toc30688" </w:instrText>
          </w:r>
          <w:r>
            <w:fldChar w:fldCharType="separate"/>
          </w:r>
          <w:r>
            <w:rPr>
              <w:rFonts w:hint="eastAsia" w:ascii="黑体" w:hAnsi="黑体" w:eastAsia="黑体"/>
            </w:rPr>
            <w:t>一、基本职能及主要工作</w:t>
          </w:r>
          <w:r>
            <w:tab/>
          </w:r>
          <w:r>
            <w:fldChar w:fldCharType="end"/>
          </w:r>
        </w:p>
        <w:p>
          <w:pPr>
            <w:pStyle w:val="29"/>
            <w:tabs>
              <w:tab w:val="right" w:leader="dot" w:pos="8306"/>
            </w:tabs>
            <w:ind w:left="840"/>
            <w:rPr>
              <w:rFonts w:ascii="仿宋" w:hAnsi="仿宋" w:eastAsia="仿宋" w:cs="仿宋"/>
            </w:rPr>
          </w:pPr>
          <w:r>
            <w:fldChar w:fldCharType="begin"/>
          </w:r>
          <w:r>
            <w:instrText xml:space="preserve"> HYPERLINK \l "_Toc22468" </w:instrText>
          </w:r>
          <w:r>
            <w:fldChar w:fldCharType="separate"/>
          </w:r>
          <w:r>
            <w:rPr>
              <w:rFonts w:hint="eastAsia" w:ascii="仿宋" w:hAnsi="仿宋" w:eastAsia="仿宋" w:cs="仿宋"/>
              <w:szCs w:val="32"/>
            </w:rPr>
            <w:t>（一）主要职能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_Toc22468 </w:instrText>
          </w:r>
          <w:r>
            <w:rPr>
              <w:rFonts w:hint="eastAsia" w:ascii="仿宋" w:hAnsi="仿宋" w:eastAsia="仿宋" w:cs="仿宋"/>
            </w:rPr>
            <w:fldChar w:fldCharType="separate"/>
          </w:r>
          <w:r>
            <w:rPr>
              <w:rFonts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8306"/>
            </w:tabs>
            <w:ind w:left="840"/>
          </w:pPr>
          <w:r>
            <w:fldChar w:fldCharType="begin"/>
          </w:r>
          <w:r>
            <w:instrText xml:space="preserve"> HYPERLINK \l "_Toc18656" </w:instrText>
          </w:r>
          <w:r>
            <w:fldChar w:fldCharType="separate"/>
          </w:r>
          <w:r>
            <w:rPr>
              <w:rFonts w:hint="eastAsia" w:ascii="仿宋" w:hAnsi="仿宋" w:eastAsia="仿宋" w:cs="仿宋"/>
              <w:szCs w:val="32"/>
            </w:rPr>
            <w:t>（二）2019年重点工作完成情况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_Toc18656 </w:instrText>
          </w:r>
          <w:r>
            <w:rPr>
              <w:rFonts w:hint="eastAsia" w:ascii="仿宋" w:hAnsi="仿宋" w:eastAsia="仿宋" w:cs="仿宋"/>
            </w:rPr>
            <w:fldChar w:fldCharType="separate"/>
          </w:r>
          <w:r>
            <w:rPr>
              <w:rFonts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20"/>
            <w:tabs>
              <w:tab w:val="right" w:leader="dot" w:pos="8306"/>
            </w:tabs>
            <w:ind w:left="420"/>
          </w:pPr>
          <w:r>
            <w:fldChar w:fldCharType="begin"/>
          </w:r>
          <w:r>
            <w:instrText xml:space="preserve"> HYPERLINK \l "_Toc12084" </w:instrText>
          </w:r>
          <w:r>
            <w:fldChar w:fldCharType="separate"/>
          </w:r>
          <w:r>
            <w:rPr>
              <w:rFonts w:hint="eastAsia" w:ascii="黑体" w:eastAsia="黑体"/>
            </w:rPr>
            <w:t>二、</w:t>
          </w:r>
          <w:r>
            <w:rPr>
              <w:rFonts w:hint="eastAsia" w:ascii="黑体" w:hAnsi="黑体" w:eastAsia="黑体"/>
            </w:rPr>
            <w:t>机构设置</w:t>
          </w:r>
          <w:r>
            <w:tab/>
          </w:r>
          <w:r>
            <w:fldChar w:fldCharType="end"/>
          </w:r>
        </w:p>
        <w:p>
          <w:pPr>
            <w:pStyle w:val="19"/>
            <w:tabs>
              <w:tab w:val="right" w:leader="dot" w:pos="8306"/>
            </w:tabs>
          </w:pPr>
          <w:r>
            <w:fldChar w:fldCharType="begin"/>
          </w:r>
          <w:r>
            <w:instrText xml:space="preserve"> HYPERLINK \l "_Toc26682" </w:instrText>
          </w:r>
          <w:r>
            <w:fldChar w:fldCharType="separate"/>
          </w:r>
          <w:r>
            <w:rPr>
              <w:rFonts w:hint="eastAsia" w:ascii="黑体" w:hAnsi="黑体" w:eastAsia="黑体"/>
            </w:rPr>
            <w:t>第二部分</w:t>
          </w:r>
          <w:r>
            <w:rPr>
              <w:rFonts w:ascii="黑体" w:hAnsi="黑体" w:eastAsia="黑体"/>
            </w:rPr>
            <w:t>20</w:t>
          </w:r>
          <w:r>
            <w:rPr>
              <w:rFonts w:hint="eastAsia" w:ascii="黑体" w:hAnsi="黑体" w:eastAsia="黑体"/>
            </w:rPr>
            <w:t>19年度部门决算情况说明</w:t>
          </w:r>
          <w:r>
            <w:tab/>
          </w:r>
          <w:r>
            <w:fldChar w:fldCharType="end"/>
          </w:r>
        </w:p>
        <w:p>
          <w:pPr>
            <w:pStyle w:val="20"/>
            <w:tabs>
              <w:tab w:val="right" w:leader="dot" w:pos="8306"/>
            </w:tabs>
            <w:ind w:left="420"/>
          </w:pPr>
          <w:r>
            <w:fldChar w:fldCharType="begin"/>
          </w:r>
          <w:r>
            <w:instrText xml:space="preserve"> HYPERLINK \l "_Toc21011"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end"/>
          </w:r>
        </w:p>
        <w:p>
          <w:pPr>
            <w:pStyle w:val="20"/>
            <w:tabs>
              <w:tab w:val="right" w:leader="dot" w:pos="8306"/>
            </w:tabs>
            <w:ind w:left="420"/>
          </w:pPr>
          <w:r>
            <w:fldChar w:fldCharType="begin"/>
          </w:r>
          <w:r>
            <w:instrText xml:space="preserve"> HYPERLINK \l "_Toc2807"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end"/>
          </w:r>
        </w:p>
        <w:p>
          <w:pPr>
            <w:pStyle w:val="20"/>
            <w:tabs>
              <w:tab w:val="right" w:leader="dot" w:pos="8306"/>
            </w:tabs>
            <w:ind w:left="420"/>
          </w:pPr>
          <w:r>
            <w:fldChar w:fldCharType="begin"/>
          </w:r>
          <w:r>
            <w:instrText xml:space="preserve"> HYPERLINK \l "_Toc3380"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end"/>
          </w:r>
        </w:p>
        <w:p>
          <w:pPr>
            <w:pStyle w:val="20"/>
            <w:tabs>
              <w:tab w:val="right" w:leader="dot" w:pos="8306"/>
            </w:tabs>
            <w:ind w:left="420"/>
          </w:pPr>
          <w:r>
            <w:fldChar w:fldCharType="begin"/>
          </w:r>
          <w:r>
            <w:instrText xml:space="preserve"> HYPERLINK \l "_Toc6268"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end"/>
          </w:r>
        </w:p>
        <w:p>
          <w:pPr>
            <w:pStyle w:val="20"/>
            <w:tabs>
              <w:tab w:val="right" w:leader="dot" w:pos="8306"/>
            </w:tabs>
            <w:ind w:left="420"/>
          </w:pPr>
          <w:r>
            <w:fldChar w:fldCharType="begin"/>
          </w:r>
          <w:r>
            <w:instrText xml:space="preserve"> HYPERLINK \l "_Toc31520"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end"/>
          </w:r>
        </w:p>
        <w:p>
          <w:pPr>
            <w:pStyle w:val="29"/>
            <w:tabs>
              <w:tab w:val="right" w:leader="dot" w:pos="8306"/>
            </w:tabs>
            <w:ind w:left="840"/>
          </w:pPr>
          <w:r>
            <w:fldChar w:fldCharType="begin"/>
          </w:r>
          <w:r>
            <w:instrText xml:space="preserve"> HYPERLINK \l "_Toc4799" </w:instrText>
          </w:r>
          <w:r>
            <w:fldChar w:fldCharType="separate"/>
          </w:r>
          <w:r>
            <w:rPr>
              <w:rFonts w:hint="eastAsia" w:ascii="仿宋" w:hAnsi="仿宋" w:eastAsia="仿宋"/>
              <w:szCs w:val="32"/>
            </w:rPr>
            <w:t>（一）一般公共预算财政拨款支出决算总体情况</w:t>
          </w:r>
          <w:r>
            <w:tab/>
          </w:r>
          <w:r>
            <w:fldChar w:fldCharType="end"/>
          </w:r>
        </w:p>
        <w:p>
          <w:pPr>
            <w:pStyle w:val="29"/>
            <w:tabs>
              <w:tab w:val="right" w:leader="dot" w:pos="8306"/>
            </w:tabs>
            <w:ind w:left="840"/>
          </w:pPr>
          <w:r>
            <w:fldChar w:fldCharType="begin"/>
          </w:r>
          <w:r>
            <w:instrText xml:space="preserve"> HYPERLINK \l "_Toc27697" </w:instrText>
          </w:r>
          <w:r>
            <w:fldChar w:fldCharType="separate"/>
          </w:r>
          <w:r>
            <w:rPr>
              <w:rFonts w:hint="eastAsia" w:ascii="仿宋" w:hAnsi="仿宋" w:eastAsia="仿宋"/>
              <w:szCs w:val="32"/>
            </w:rPr>
            <w:t>（二）一般公共预算财政拨款支出决算结构情况</w:t>
          </w:r>
          <w:r>
            <w:tab/>
          </w:r>
          <w:r>
            <w:fldChar w:fldCharType="end"/>
          </w:r>
        </w:p>
        <w:p>
          <w:pPr>
            <w:pStyle w:val="29"/>
            <w:tabs>
              <w:tab w:val="right" w:leader="dot" w:pos="8306"/>
            </w:tabs>
            <w:ind w:left="840"/>
          </w:pPr>
          <w:r>
            <w:fldChar w:fldCharType="begin"/>
          </w:r>
          <w:r>
            <w:instrText xml:space="preserve"> HYPERLINK \l "_Toc8732" </w:instrText>
          </w:r>
          <w:r>
            <w:fldChar w:fldCharType="separate"/>
          </w:r>
          <w:r>
            <w:rPr>
              <w:rFonts w:hint="eastAsia" w:ascii="仿宋" w:hAnsi="仿宋" w:eastAsia="仿宋"/>
              <w:szCs w:val="32"/>
            </w:rPr>
            <w:t>（三）一般公共预算财政拨款支出决算具体情况</w:t>
          </w:r>
          <w:r>
            <w:tab/>
          </w:r>
          <w:r>
            <w:fldChar w:fldCharType="end"/>
          </w:r>
        </w:p>
        <w:p>
          <w:pPr>
            <w:pStyle w:val="20"/>
            <w:tabs>
              <w:tab w:val="right" w:leader="dot" w:pos="8306"/>
            </w:tabs>
            <w:ind w:left="420"/>
          </w:pPr>
          <w:r>
            <w:fldChar w:fldCharType="begin"/>
          </w:r>
          <w:r>
            <w:instrText xml:space="preserve"> HYPERLINK \l "_Toc4099"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rPr>
            <w:t>11</w:t>
          </w:r>
          <w:r>
            <w:rPr>
              <w:rFonts w:hint="eastAsia"/>
            </w:rPr>
            <w:fldChar w:fldCharType="end"/>
          </w:r>
        </w:p>
        <w:p>
          <w:pPr>
            <w:pStyle w:val="20"/>
            <w:tabs>
              <w:tab w:val="right" w:leader="dot" w:pos="8306"/>
            </w:tabs>
            <w:ind w:left="420"/>
          </w:pPr>
          <w:r>
            <w:fldChar w:fldCharType="begin"/>
          </w:r>
          <w:r>
            <w:instrText xml:space="preserve"> HYPERLINK \l "_Toc21513"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end"/>
          </w:r>
        </w:p>
        <w:p>
          <w:pPr>
            <w:pStyle w:val="20"/>
            <w:tabs>
              <w:tab w:val="right" w:leader="dot" w:pos="8306"/>
            </w:tabs>
            <w:ind w:left="420"/>
          </w:pPr>
          <w:r>
            <w:fldChar w:fldCharType="begin"/>
          </w:r>
          <w:r>
            <w:instrText xml:space="preserve"> HYPERLINK \l "_Toc10901"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end"/>
          </w:r>
        </w:p>
        <w:p>
          <w:pPr>
            <w:pStyle w:val="20"/>
            <w:tabs>
              <w:tab w:val="right" w:leader="dot" w:pos="8306"/>
            </w:tabs>
            <w:ind w:left="420"/>
          </w:pPr>
          <w:r>
            <w:fldChar w:fldCharType="begin"/>
          </w:r>
          <w:r>
            <w:instrText xml:space="preserve"> HYPERLINK \l "_Toc7136" </w:instrText>
          </w:r>
          <w:r>
            <w:fldChar w:fldCharType="separate"/>
          </w:r>
          <w:r>
            <w:rPr>
              <w:rFonts w:hint="eastAsia" w:ascii="黑体" w:hAnsi="黑体" w:eastAsia="黑体"/>
              <w:szCs w:val="32"/>
            </w:rPr>
            <w:t>九</w:t>
          </w:r>
          <w:r>
            <w:rPr>
              <w:rFonts w:hint="eastAsia" w:ascii="黑体" w:hAnsi="黑体" w:eastAsia="黑体"/>
            </w:rPr>
            <w:t>、其他重要事项的情况说明</w:t>
          </w:r>
          <w:r>
            <w:tab/>
          </w:r>
          <w:r>
            <w:fldChar w:fldCharType="end"/>
          </w:r>
        </w:p>
        <w:p>
          <w:pPr>
            <w:pStyle w:val="29"/>
            <w:tabs>
              <w:tab w:val="right" w:leader="dot" w:pos="8306"/>
            </w:tabs>
            <w:ind w:left="840"/>
          </w:pPr>
          <w:r>
            <w:fldChar w:fldCharType="begin"/>
          </w:r>
          <w:r>
            <w:instrText xml:space="preserve"> HYPERLINK \l "_Toc32709" </w:instrText>
          </w:r>
          <w:r>
            <w:fldChar w:fldCharType="separate"/>
          </w:r>
          <w:r>
            <w:rPr>
              <w:rFonts w:hint="eastAsia" w:ascii="仿宋" w:hAnsi="仿宋" w:eastAsia="仿宋"/>
              <w:szCs w:val="32"/>
            </w:rPr>
            <w:t>（一）机关运行经费支出情况</w:t>
          </w:r>
          <w:r>
            <w:tab/>
          </w:r>
          <w:r>
            <w:fldChar w:fldCharType="end"/>
          </w:r>
        </w:p>
        <w:p>
          <w:pPr>
            <w:pStyle w:val="29"/>
            <w:tabs>
              <w:tab w:val="right" w:leader="dot" w:pos="8306"/>
            </w:tabs>
            <w:ind w:left="840"/>
          </w:pPr>
          <w:r>
            <w:fldChar w:fldCharType="begin"/>
          </w:r>
          <w:r>
            <w:instrText xml:space="preserve"> HYPERLINK \l "_Toc26987" </w:instrText>
          </w:r>
          <w:r>
            <w:fldChar w:fldCharType="separate"/>
          </w:r>
          <w:r>
            <w:fldChar w:fldCharType="end"/>
          </w:r>
          <w:r>
            <w:fldChar w:fldCharType="begin"/>
          </w:r>
          <w:r>
            <w:instrText xml:space="preserve"> HYPERLINK \l "_Toc18213" </w:instrText>
          </w:r>
          <w:r>
            <w:fldChar w:fldCharType="separate"/>
          </w:r>
          <w:r>
            <w:rPr>
              <w:rFonts w:hint="eastAsia" w:ascii="仿宋" w:hAnsi="仿宋" w:eastAsia="仿宋"/>
              <w:szCs w:val="32"/>
            </w:rPr>
            <w:t>（二）国有资产占有使用情况</w:t>
          </w:r>
          <w:r>
            <w:tab/>
          </w:r>
          <w:r>
            <w:fldChar w:fldCharType="end"/>
          </w:r>
        </w:p>
        <w:p>
          <w:pPr>
            <w:pStyle w:val="29"/>
            <w:tabs>
              <w:tab w:val="right" w:leader="dot" w:pos="8306"/>
            </w:tabs>
            <w:ind w:left="840"/>
          </w:pPr>
          <w:r>
            <w:fldChar w:fldCharType="begin"/>
          </w:r>
          <w:r>
            <w:instrText xml:space="preserve"> HYPERLINK \l "_Toc3558" </w:instrText>
          </w:r>
          <w:r>
            <w:fldChar w:fldCharType="separate"/>
          </w:r>
          <w:r>
            <w:rPr>
              <w:rFonts w:hint="eastAsia" w:ascii="仿宋" w:hAnsi="仿宋" w:eastAsia="仿宋"/>
              <w:szCs w:val="32"/>
            </w:rPr>
            <w:t>（三）预算绩效管理情况</w:t>
          </w:r>
          <w:r>
            <w:tab/>
          </w:r>
          <w:r>
            <w:fldChar w:fldCharType="end"/>
          </w:r>
        </w:p>
        <w:p>
          <w:pPr>
            <w:pStyle w:val="19"/>
            <w:tabs>
              <w:tab w:val="right" w:leader="dot" w:pos="8306"/>
            </w:tabs>
          </w:pPr>
          <w:r>
            <w:fldChar w:fldCharType="begin"/>
          </w:r>
          <w:r>
            <w:instrText xml:space="preserve"> HYPERLINK \l "_Toc18951"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rPr>
              <w:rFonts w:hint="eastAsia"/>
            </w:rPr>
            <w:t>13</w:t>
          </w:r>
          <w:r>
            <w:rPr>
              <w:rFonts w:hint="eastAsia"/>
            </w:rPr>
            <w:fldChar w:fldCharType="end"/>
          </w:r>
        </w:p>
        <w:p>
          <w:pPr>
            <w:pStyle w:val="19"/>
            <w:tabs>
              <w:tab w:val="right" w:leader="dot" w:pos="8306"/>
            </w:tabs>
          </w:pPr>
          <w:r>
            <w:fldChar w:fldCharType="begin"/>
          </w:r>
          <w:r>
            <w:instrText xml:space="preserve"> HYPERLINK \l "_Toc5092" </w:instrText>
          </w:r>
          <w:r>
            <w:fldChar w:fldCharType="separate"/>
          </w:r>
          <w:r>
            <w:rPr>
              <w:rFonts w:hint="eastAsia" w:ascii="黑体" w:hAnsi="黑体" w:eastAsia="黑体"/>
              <w:szCs w:val="44"/>
            </w:rPr>
            <w:t>第</w:t>
          </w:r>
          <w:r>
            <w:rPr>
              <w:rFonts w:hint="eastAsia" w:ascii="黑体" w:hAnsi="黑体" w:eastAsia="黑体"/>
            </w:rPr>
            <w:t>四部分附件</w:t>
          </w:r>
          <w:r>
            <w:tab/>
          </w:r>
          <w:r>
            <w:rPr>
              <w:rFonts w:hint="eastAsia"/>
            </w:rPr>
            <w:t>16</w:t>
          </w:r>
          <w:r>
            <w:rPr>
              <w:rFonts w:hint="eastAsia"/>
            </w:rPr>
            <w:fldChar w:fldCharType="end"/>
          </w:r>
        </w:p>
        <w:p>
          <w:pPr>
            <w:pStyle w:val="19"/>
            <w:tabs>
              <w:tab w:val="right" w:leader="dot" w:pos="8306"/>
            </w:tabs>
          </w:pPr>
          <w:r>
            <w:fldChar w:fldCharType="begin"/>
          </w:r>
          <w:r>
            <w:instrText xml:space="preserve"> HYPERLINK \l "_Toc9664" </w:instrText>
          </w:r>
          <w:r>
            <w:fldChar w:fldCharType="separate"/>
          </w:r>
          <w:r>
            <w:rPr>
              <w:rFonts w:hint="eastAsia" w:ascii="黑体" w:hAnsi="黑体" w:eastAsia="黑体"/>
            </w:rPr>
            <w:t>第五部分 附表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"_Toc26306" </w:instrText>
          </w:r>
          <w:r>
            <w:fldChar w:fldCharType="separate"/>
          </w:r>
          <w:r>
            <w:rPr>
              <w:rFonts w:hint="eastAsia" w:ascii="仿宋" w:hAnsi="仿宋" w:eastAsia="仿宋"/>
            </w:rPr>
            <w:t>一、收入支出决算总表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"_Toc26569" </w:instrText>
          </w:r>
          <w:r>
            <w:fldChar w:fldCharType="separate"/>
          </w:r>
          <w:r>
            <w:rPr>
              <w:rFonts w:hint="eastAsia" w:ascii="仿宋" w:hAnsi="仿宋" w:eastAsia="仿宋"/>
            </w:rPr>
            <w:t>二、收入决算表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"_Toc11901" </w:instrText>
          </w:r>
          <w:r>
            <w:fldChar w:fldCharType="separate"/>
          </w:r>
          <w:r>
            <w:rPr>
              <w:rFonts w:hint="eastAsia" w:ascii="仿宋" w:hAnsi="仿宋" w:eastAsia="仿宋"/>
            </w:rPr>
            <w:t>三、支出决算表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"_Toc31541" </w:instrText>
          </w:r>
          <w:r>
            <w:fldChar w:fldCharType="separate"/>
          </w:r>
          <w:r>
            <w:rPr>
              <w:rFonts w:hint="eastAsia" w:ascii="仿宋" w:hAnsi="仿宋" w:eastAsia="仿宋"/>
            </w:rPr>
            <w:t>四、财政拨款收入支出决算总表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"_Toc30725" </w:instrText>
          </w:r>
          <w:r>
            <w:fldChar w:fldCharType="separate"/>
          </w:r>
          <w:r>
            <w:rPr>
              <w:rFonts w:hint="eastAsia" w:ascii="仿宋" w:hAnsi="仿宋" w:eastAsia="仿宋"/>
            </w:rPr>
            <w:t>五、财政拨款支出决算明细表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"_Toc18525" </w:instrText>
          </w:r>
          <w:r>
            <w:fldChar w:fldCharType="separate"/>
          </w:r>
          <w:r>
            <w:rPr>
              <w:rFonts w:hint="eastAsia" w:ascii="仿宋" w:hAnsi="仿宋" w:eastAsia="仿宋"/>
            </w:rPr>
            <w:t>六、一般公共预算财政拨款支出决算表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"_Toc29678" </w:instrText>
          </w:r>
          <w:r>
            <w:fldChar w:fldCharType="separate"/>
          </w:r>
          <w:r>
            <w:rPr>
              <w:rFonts w:hint="eastAsia" w:ascii="仿宋" w:hAnsi="仿宋" w:eastAsia="仿宋"/>
            </w:rPr>
            <w:t>七、一般公共预算财政拨款支出决算明细表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"_Toc2208" </w:instrText>
          </w:r>
          <w:r>
            <w:fldChar w:fldCharType="separate"/>
          </w:r>
          <w:r>
            <w:rPr>
              <w:rFonts w:hint="eastAsia" w:ascii="仿宋" w:hAnsi="仿宋" w:eastAsia="仿宋"/>
            </w:rPr>
            <w:t>八、一般公共预算财政拨款基本支出决算表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"_Toc31951" </w:instrText>
          </w:r>
          <w:r>
            <w:fldChar w:fldCharType="separate"/>
          </w:r>
          <w:r>
            <w:rPr>
              <w:rFonts w:hint="eastAsia" w:ascii="仿宋" w:hAnsi="仿宋" w:eastAsia="仿宋"/>
            </w:rPr>
            <w:t>九、一般公共预算财政拨款项目支出决算表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"_Toc24607" </w:instrText>
          </w:r>
          <w:r>
            <w:fldChar w:fldCharType="separate"/>
          </w:r>
          <w:r>
            <w:rPr>
              <w:rFonts w:hint="eastAsia" w:ascii="仿宋" w:hAnsi="仿宋" w:eastAsia="仿宋"/>
            </w:rPr>
            <w:t>十、一般公共预算财政拨款“三公”经费支出决算表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"_Toc12933" </w:instrText>
          </w:r>
          <w:r>
            <w:fldChar w:fldCharType="separate"/>
          </w:r>
          <w:r>
            <w:rPr>
              <w:rFonts w:hint="eastAsia" w:ascii="仿宋" w:hAnsi="仿宋" w:eastAsia="仿宋"/>
            </w:rPr>
            <w:t>十一、政府性基金预算财政拨款收入支出决算表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"_Toc21122" </w:instrText>
          </w:r>
          <w:r>
            <w:fldChar w:fldCharType="separate"/>
          </w:r>
          <w:r>
            <w:rPr>
              <w:rFonts w:hint="eastAsia" w:ascii="仿宋" w:hAnsi="仿宋" w:eastAsia="仿宋"/>
            </w:rPr>
            <w:t>十二、政府性基金预算财政拨款“三公”经费支出决算表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"_Toc18539" </w:instrText>
          </w:r>
          <w:r>
            <w:fldChar w:fldCharType="separate"/>
          </w:r>
          <w:r>
            <w:rPr>
              <w:rFonts w:hint="eastAsia" w:ascii="仿宋" w:hAnsi="仿宋" w:eastAsia="仿宋"/>
            </w:rPr>
            <w:t>十三、国有资本经营预算财政拨款收入支出决算表</w:t>
          </w:r>
          <w:r>
            <w:tab/>
          </w:r>
          <w:r>
            <w:rPr>
              <w:rFonts w:hint="eastAsia"/>
            </w:rPr>
            <w:t>19</w:t>
          </w:r>
          <w:r>
            <w:rPr>
              <w:rFonts w:hint="eastAsia"/>
            </w:rPr>
            <w:fldChar w:fldCharType="end"/>
          </w:r>
        </w:p>
        <w:p>
          <w:pPr>
            <w:pStyle w:val="20"/>
            <w:tabs>
              <w:tab w:val="right" w:leader="dot" w:pos="8306"/>
            </w:tabs>
            <w:ind w:left="420"/>
          </w:pPr>
          <w:r>
            <w:fldChar w:fldCharType="begin"/>
          </w:r>
          <w:r>
            <w:instrText xml:space="preserve"> HYPERLINK \l "_Toc21184" </w:instrText>
          </w:r>
          <w:r>
            <w:fldChar w:fldCharType="separate"/>
          </w:r>
          <w:r>
            <w:rPr>
              <w:rFonts w:hint="eastAsia" w:ascii="仿宋" w:hAnsi="仿宋" w:eastAsia="仿宋"/>
            </w:rPr>
            <w:t>十四、国有资本经营预算财政拨款支出决算表</w:t>
          </w:r>
          <w:r>
            <w:tab/>
          </w:r>
          <w:r>
            <w:rPr>
              <w:rFonts w:hint="eastAsia"/>
            </w:rPr>
            <w:t>.</w:t>
          </w:r>
          <w:r>
            <w:rPr>
              <w:rFonts w:hint="eastAsia"/>
            </w:rPr>
            <w:fldChar w:fldCharType="end"/>
          </w:r>
          <w:r>
            <w:rPr>
              <w:rFonts w:hint="eastAsia"/>
            </w:rPr>
            <w:t xml:space="preserve"> 19</w:t>
          </w:r>
        </w:p>
        <w:p>
          <w:r>
            <w:fldChar w:fldCharType="end"/>
          </w:r>
        </w:p>
      </w:sdtContent>
    </w:sdt>
    <w:p>
      <w:pPr>
        <w:pStyle w:val="2"/>
        <w:jc w:val="center"/>
        <w:rPr>
          <w:rFonts w:ascii="黑体" w:hAnsi="黑体" w:eastAsia="黑体"/>
          <w:b w:val="0"/>
        </w:rPr>
      </w:pPr>
      <w:bookmarkStart w:id="21" w:name="_Toc23753"/>
    </w:p>
    <w:p>
      <w:pPr>
        <w:pStyle w:val="2"/>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pStyle w:val="2"/>
        <w:jc w:val="center"/>
        <w:rPr>
          <w:rFonts w:ascii="黑体" w:hAnsi="黑体" w:eastAsia="黑体"/>
          <w:b w:val="0"/>
        </w:rPr>
      </w:pPr>
    </w:p>
    <w:p>
      <w:pPr>
        <w:rPr>
          <w:rFonts w:hint="eastAsia"/>
        </w:rPr>
      </w:pPr>
    </w:p>
    <w:p>
      <w:pPr>
        <w:pStyle w:val="2"/>
        <w:rPr>
          <w:rFonts w:hint="eastAsia"/>
        </w:rPr>
      </w:pPr>
    </w:p>
    <w:p/>
    <w:p>
      <w:pPr>
        <w:pStyle w:val="2"/>
        <w:jc w:val="center"/>
        <w:rPr>
          <w:rFonts w:ascii="黑体" w:eastAsia="黑体"/>
          <w:color w:val="000000"/>
          <w:sz w:val="32"/>
          <w:szCs w:val="32"/>
        </w:rPr>
      </w:pPr>
      <w:r>
        <w:rPr>
          <w:rFonts w:hint="eastAsia" w:ascii="黑体" w:hAnsi="黑体" w:eastAsia="黑体"/>
          <w:b w:val="0"/>
        </w:rPr>
        <w:t>第一部分</w:t>
      </w:r>
      <w:r>
        <w:rPr>
          <w:rStyle w:val="15"/>
          <w:rFonts w:hint="eastAsia" w:ascii="黑体" w:hAnsi="黑体" w:eastAsia="黑体"/>
          <w:b w:val="0"/>
          <w:bCs w:val="0"/>
        </w:rPr>
        <w:t>部门概况</w:t>
      </w:r>
      <w:bookmarkEnd w:id="21"/>
    </w:p>
    <w:p>
      <w:pPr>
        <w:pStyle w:val="3"/>
        <w:ind w:firstLine="640" w:firstLineChars="200"/>
        <w:rPr>
          <w:rStyle w:val="17"/>
          <w:rFonts w:ascii="仿宋" w:hAnsi="仿宋" w:eastAsia="仿宋"/>
          <w:b w:val="0"/>
          <w:bCs w:val="0"/>
        </w:rPr>
      </w:pPr>
      <w:bookmarkStart w:id="22" w:name="_Toc15396600"/>
      <w:bookmarkStart w:id="23" w:name="_Toc15377197"/>
      <w:bookmarkStart w:id="24" w:name="_Toc30688"/>
      <w:r>
        <w:rPr>
          <w:rFonts w:hint="eastAsia" w:ascii="黑体" w:hAnsi="黑体" w:eastAsia="黑体"/>
          <w:b w:val="0"/>
          <w:color w:val="000000"/>
        </w:rPr>
        <w:t>一、基</w:t>
      </w:r>
      <w:r>
        <w:rPr>
          <w:rStyle w:val="17"/>
          <w:rFonts w:hint="eastAsia" w:ascii="黑体" w:hAnsi="黑体" w:eastAsia="黑体"/>
          <w:b w:val="0"/>
          <w:bCs w:val="0"/>
        </w:rPr>
        <w:t>本职能及主要工作</w:t>
      </w:r>
      <w:bookmarkEnd w:id="22"/>
      <w:bookmarkEnd w:id="23"/>
      <w:bookmarkEnd w:id="24"/>
    </w:p>
    <w:p>
      <w:pPr>
        <w:pStyle w:val="5"/>
        <w:adjustRightInd w:val="0"/>
        <w:snapToGrid w:val="0"/>
        <w:spacing w:before="93" w:line="600" w:lineRule="exact"/>
        <w:ind w:firstLine="674" w:firstLineChars="210"/>
        <w:outlineLvl w:val="2"/>
        <w:rPr>
          <w:rFonts w:ascii="楷体_GB2312" w:hAnsi="楷体_GB2312" w:eastAsia="楷体_GB2312" w:cs="楷体_GB2312"/>
          <w:b/>
          <w:color w:val="000000"/>
          <w:sz w:val="32"/>
          <w:szCs w:val="32"/>
        </w:rPr>
      </w:pPr>
      <w:bookmarkStart w:id="25" w:name="_Toc15378445"/>
      <w:bookmarkStart w:id="26" w:name="_Toc22468"/>
      <w:bookmarkStart w:id="27" w:name="_Toc15377198"/>
      <w:r>
        <w:rPr>
          <w:rFonts w:hint="eastAsia" w:ascii="楷体_GB2312" w:hAnsi="楷体_GB2312" w:eastAsia="楷体_GB2312" w:cs="楷体_GB2312"/>
          <w:b/>
          <w:color w:val="000000"/>
          <w:sz w:val="32"/>
          <w:szCs w:val="32"/>
        </w:rPr>
        <w:t>（一）主要职能</w:t>
      </w:r>
      <w:bookmarkEnd w:id="25"/>
      <w:bookmarkEnd w:id="26"/>
      <w:bookmarkEnd w:id="27"/>
    </w:p>
    <w:p>
      <w:pPr>
        <w:pStyle w:val="5"/>
        <w:adjustRightInd w:val="0"/>
        <w:snapToGrid w:val="0"/>
        <w:spacing w:before="93" w:line="600" w:lineRule="exact"/>
        <w:ind w:firstLine="672" w:firstLineChars="210"/>
        <w:outlineLvl w:val="2"/>
        <w:rPr>
          <w:rFonts w:hAnsi="黑体"/>
          <w:sz w:val="32"/>
          <w:szCs w:val="32"/>
        </w:rPr>
      </w:pPr>
      <w:bookmarkStart w:id="28" w:name="_Toc8852"/>
      <w:r>
        <w:rPr>
          <w:rFonts w:hint="eastAsia" w:ascii="仿宋" w:hAnsi="仿宋" w:eastAsia="仿宋"/>
          <w:bCs/>
          <w:color w:val="000000"/>
          <w:sz w:val="32"/>
          <w:szCs w:val="32"/>
        </w:rPr>
        <w:t>遂宁市中心医院是一所集医疗、教学、科研、预防、保健为一体的国家三级甲等综合医院。医院现承担了省内外十余家医学院校的临床教学任务，是川北医学院、重庆医科大学非直管附属医院，是重庆医科大学、川北医学院附属医院、成都中医药大学遂宁临床学院和遵义医科大学研究生联合培养基地，国家第一批住院医师规范化培训基地、四川省专科医师规范化培训基地、四川省全科医生转岗培训基地，是西班牙特拉萨大学医院、法国昂热医教中心、加拿大七橡树综合医院国际友好合作医院，</w:t>
      </w:r>
      <w:bookmarkEnd w:id="28"/>
      <w:bookmarkStart w:id="29" w:name="_Toc15378446"/>
      <w:bookmarkStart w:id="30" w:name="_Toc18656"/>
      <w:bookmarkStart w:id="31" w:name="_Toc15377199"/>
      <w:r>
        <w:rPr>
          <w:rFonts w:hint="eastAsia" w:hAnsi="黑体"/>
          <w:sz w:val="32"/>
          <w:szCs w:val="32"/>
        </w:rPr>
        <w:t>连续七年进入全国地级城市医院100强。</w:t>
      </w:r>
    </w:p>
    <w:p>
      <w:pPr>
        <w:pStyle w:val="5"/>
        <w:adjustRightInd w:val="0"/>
        <w:snapToGrid w:val="0"/>
        <w:spacing w:before="93" w:line="600" w:lineRule="exact"/>
        <w:ind w:firstLine="674" w:firstLineChars="210"/>
        <w:outlineLvl w:val="2"/>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（二）2019年重点工作完成情况</w:t>
      </w:r>
      <w:bookmarkEnd w:id="29"/>
      <w:bookmarkEnd w:id="30"/>
      <w:bookmarkEnd w:id="31"/>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1、加强党的建设，统揽医院发展大局</w:t>
      </w:r>
    </w:p>
    <w:p>
      <w:pPr>
        <w:spacing w:line="56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强化党建引领，确保政治方向正确。加强民主决策，修订和完善医院党委会会议议事规则、院长办公会会议议事规则。加强组织建设，今年8月完成基层党组织改革和选举工作，设立9个党总支，35个党支部，选举产生了一批学历高、专业强、素质优的青年人才，在医院42名基层党组织书记中，有19人具有硕士学位、8人拥有博士学位。</w:t>
      </w:r>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2、强化医疗质量管理，确保医疗安全</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严格执行医疗核心制度，规范病历书写和电子病历的临床应用，提高病历质量。定期开展质量追踪，基于医疗三医监管数据、病例首页数据、DRGs数据分析对医疗质量问题进行追踪管理，确保医疗质量与安全。加强合理用药督查，目前医院综合药占比仅为21.9%，在省内同级医院中处于优秀管理水平。加强医院感染质量监控，今年5月</w:t>
      </w:r>
      <w:r>
        <w:rPr>
          <w:rFonts w:hint="eastAsia" w:ascii="仿宋_GB2312" w:hAnsi="黑体" w:eastAsia="仿宋_GB2312"/>
          <w:color w:val="000000"/>
          <w:sz w:val="32"/>
          <w:szCs w:val="32"/>
        </w:rPr>
        <w:t>医院被评为“感控实践优秀基层医院”。</w:t>
      </w:r>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3、加强学科建设，提升综合服务能力</w:t>
      </w:r>
    </w:p>
    <w:p>
      <w:pPr>
        <w:spacing w:line="560" w:lineRule="exact"/>
        <w:ind w:firstLine="640" w:firstLineChars="200"/>
        <w:rPr>
          <w:rFonts w:ascii="仿宋_GB2312" w:hAnsi="黑体" w:eastAsia="仿宋_GB2312"/>
          <w:sz w:val="32"/>
          <w:szCs w:val="32"/>
        </w:rPr>
      </w:pPr>
      <w:r>
        <w:rPr>
          <w:rFonts w:hint="eastAsia" w:ascii="仿宋_GB2312" w:hAnsi="新宋体" w:eastAsia="仿宋_GB2312" w:cs="宋体"/>
          <w:color w:val="000000"/>
          <w:kern w:val="0"/>
          <w:sz w:val="32"/>
          <w:szCs w:val="30"/>
        </w:rPr>
        <w:t>目前医院有省级重点学科4个、重点专科15个。</w:t>
      </w:r>
      <w:r>
        <w:rPr>
          <w:rFonts w:hint="eastAsia" w:ascii="仿宋_GB2312" w:hAnsi="黑体" w:eastAsia="仿宋_GB2312"/>
          <w:sz w:val="32"/>
          <w:szCs w:val="32"/>
        </w:rPr>
        <w:t>胸痛中心、卒中中心建设成效明显，海扶中心持续领跑，累计治疗量突破8000例。积极开展预约诊疗，已经实现电话、微信、手机APP和自助预约机等多种方式的预约诊疗服务，门诊患者预约诊疗率已经达54.49%。今年8月，互联网医院上线运行（为四川省第二家）。日间手术工作推进顺利，</w:t>
      </w:r>
      <w:r>
        <w:rPr>
          <w:rFonts w:hint="eastAsia" w:ascii="仿宋_GB2312" w:hAnsi="黑体" w:eastAsia="仿宋_GB2312"/>
          <w:color w:val="000000"/>
          <w:sz w:val="32"/>
          <w:szCs w:val="32"/>
        </w:rPr>
        <w:t>2019年开展日间手</w:t>
      </w:r>
      <w:r>
        <w:rPr>
          <w:rFonts w:hint="eastAsia" w:ascii="仿宋_GB2312" w:hAnsi="黑体" w:eastAsia="仿宋_GB2312"/>
          <w:sz w:val="32"/>
          <w:szCs w:val="32"/>
        </w:rPr>
        <w:t>术7370例。</w:t>
      </w:r>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4、认真做好三级公立医院绩效考核工作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按照《国务院办公厅关于加强三级公立医院绩效考核工作的意见》的要求，5月底完成了2016-2018年病案首页数据报送工作，6月底完成了国家三级公立医院绩效考核管理系统数据上报工作。同时以绩效考核工作为契机，努力提升病案首页质量，已完成全院80%科室的病案首页及DRG相关知识培训。</w:t>
      </w:r>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5、落实公立医院改革工作任务</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积极宣传分级诊疗政策，引导患者合理就医，稳步开展双向转诊工作。今年8月，我院与潼南区人民医院、潼南区中医院签订区域协作合作协议，并成立10个专科联盟，同时将两家医院相应专科纳入了医院胸痛中心、卒中中心、急救中心协作管理。向理县人民医院、岳池县人民医院派出13名医务人员。</w:t>
      </w:r>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6、认真开展“整治群众最不满意的十件事”工作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继续推行“无假日门诊”“无假日专科门诊”“无午休门诊”“节假日完全门诊”；新修建了河东分部门诊部，对儿科门诊区域进行改造。积极推进河东院区二期工程、直线加速器机房建设项目、康复医院建设，为满足患者就医需求提供更好的保障。</w:t>
      </w:r>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7、做好人才引进和培养工作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积极引进和培养高学历人才，今年共引进博士研究生1名，硕士研究生43名。对外公开招聘20名非在编临床专业技术人员和非在编护理专业技术人员50名，缓解临床一线工作压力。派遣骨干医务人员赴境外研修学习，今年11月将组织15名管理干部和临床一线业务骨干到法国进行为期半个月的考察学习。</w:t>
      </w:r>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8、进一步加强科研和教学工作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今年共组织各级科研项目申报170余项。积极推进厅市共建四川省重点实验室建设工作，邀请省科技厅领导、省内外多位知名专家来遂宁进行现场指导，预计10月底省科技厅将来遂宁进行实地调研，并组织专家对实验室进行验收考核，该实验室建成后将成为我省首个建在地级城市的医学类重点实验室。</w:t>
      </w:r>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9、加强国际交流</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今年3月，我院与加拿大七橡树综合医院签订合作备忘录，加强双方在健康促进、疾病预防、康复服务等方面的合作。年内接待来自英国、澳大利亚、西班牙及香港地区的来访专家12人次。派遣3名青年技术骨干赴西班牙特拉萨大学医院进行学术交流，接待该院2名医师访问交流。</w:t>
      </w:r>
    </w:p>
    <w:p>
      <w:pPr>
        <w:spacing w:line="560" w:lineRule="exact"/>
        <w:ind w:firstLine="642" w:firstLineChars="200"/>
        <w:rPr>
          <w:rFonts w:ascii="仿宋_GB2312" w:eastAsia="仿宋_GB2312"/>
          <w:b/>
          <w:color w:val="000000"/>
          <w:sz w:val="32"/>
          <w:szCs w:val="30"/>
        </w:rPr>
      </w:pPr>
      <w:r>
        <w:rPr>
          <w:rFonts w:hint="eastAsia" w:ascii="仿宋_GB2312" w:eastAsia="仿宋_GB2312"/>
          <w:b/>
          <w:color w:val="000000"/>
          <w:sz w:val="32"/>
          <w:szCs w:val="30"/>
        </w:rPr>
        <w:t>10、做好脱贫攻坚工作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做好理县杂谷脑镇打色尔沟村，蓬溪县黄泥乡高岩村、依姑村的帮扶工作，向打色尔沟村提供18万元资金支持，用于修建机耕道路；向依姑村提供25万元资金，专项用于水利设施、产业发展等建设。组织职工“以购代扶”，向理县杂谷脑镇打色尔沟村购买青红脆李近10万元。</w:t>
      </w:r>
    </w:p>
    <w:p>
      <w:pPr>
        <w:pStyle w:val="3"/>
        <w:ind w:firstLine="640" w:firstLineChars="200"/>
        <w:rPr>
          <w:rStyle w:val="17"/>
          <w:b w:val="0"/>
          <w:bCs w:val="0"/>
        </w:rPr>
      </w:pPr>
      <w:bookmarkStart w:id="32" w:name="_Toc12084"/>
      <w:bookmarkStart w:id="33" w:name="_Toc15396601"/>
      <w:bookmarkStart w:id="34" w:name="_Toc15377200"/>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32"/>
      <w:bookmarkEnd w:id="33"/>
      <w:bookmarkEnd w:id="34"/>
    </w:p>
    <w:p>
      <w:pPr>
        <w:pStyle w:val="5"/>
        <w:adjustRightInd w:val="0"/>
        <w:snapToGrid w:val="0"/>
        <w:spacing w:before="93"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遂宁市中心医院无下属单位，按照部门决算编报要求，单独编制本部门决算。</w:t>
      </w:r>
    </w:p>
    <w:p>
      <w:pPr>
        <w:pStyle w:val="5"/>
        <w:adjustRightInd w:val="0"/>
        <w:snapToGrid w:val="0"/>
        <w:spacing w:before="93" w:line="600" w:lineRule="exact"/>
        <w:ind w:firstLine="640" w:firstLineChars="200"/>
        <w:rPr>
          <w:rFonts w:ascii="仿宋" w:hAnsi="仿宋" w:eastAsia="仿宋"/>
          <w:color w:val="000000"/>
          <w:sz w:val="32"/>
          <w:szCs w:val="32"/>
        </w:rPr>
      </w:pPr>
    </w:p>
    <w:p>
      <w:pPr>
        <w:pStyle w:val="5"/>
        <w:adjustRightInd w:val="0"/>
        <w:snapToGrid w:val="0"/>
        <w:spacing w:before="93" w:line="600" w:lineRule="exact"/>
        <w:ind w:firstLine="640" w:firstLineChars="200"/>
        <w:rPr>
          <w:rFonts w:ascii="仿宋" w:hAnsi="仿宋" w:eastAsia="仿宋"/>
          <w:color w:val="000000"/>
          <w:sz w:val="32"/>
          <w:szCs w:val="32"/>
        </w:rPr>
      </w:pPr>
    </w:p>
    <w:p>
      <w:pPr>
        <w:pStyle w:val="5"/>
        <w:adjustRightInd w:val="0"/>
        <w:snapToGrid w:val="0"/>
        <w:spacing w:before="93" w:line="600" w:lineRule="exact"/>
        <w:ind w:firstLine="640" w:firstLineChars="200"/>
        <w:rPr>
          <w:rFonts w:hint="eastAsia" w:ascii="仿宋" w:hAnsi="仿宋" w:eastAsia="仿宋"/>
          <w:color w:val="000000"/>
          <w:sz w:val="32"/>
          <w:szCs w:val="32"/>
        </w:rPr>
      </w:pPr>
    </w:p>
    <w:p>
      <w:pPr>
        <w:pStyle w:val="5"/>
        <w:adjustRightInd w:val="0"/>
        <w:snapToGrid w:val="0"/>
        <w:spacing w:before="93" w:line="600" w:lineRule="exact"/>
        <w:ind w:firstLine="640" w:firstLineChars="200"/>
        <w:rPr>
          <w:rFonts w:ascii="仿宋" w:hAnsi="仿宋" w:eastAsia="仿宋"/>
          <w:color w:val="000000"/>
          <w:sz w:val="32"/>
          <w:szCs w:val="32"/>
        </w:rPr>
      </w:pPr>
    </w:p>
    <w:p>
      <w:pPr>
        <w:pStyle w:val="2"/>
        <w:ind w:right="440"/>
        <w:jc w:val="right"/>
      </w:pPr>
      <w:bookmarkStart w:id="35" w:name="_Toc26682"/>
      <w:r>
        <w:rPr>
          <w:rFonts w:hint="eastAsia" w:ascii="黑体" w:hAnsi="黑体" w:eastAsia="黑体"/>
          <w:b w:val="0"/>
          <w:color w:val="000000"/>
        </w:rPr>
        <w:t>第二部分</w:t>
      </w:r>
      <w:r>
        <w:rPr>
          <w:rStyle w:val="15"/>
          <w:rFonts w:ascii="黑体" w:hAnsi="黑体" w:eastAsia="黑体"/>
          <w:b w:val="0"/>
          <w:bCs w:val="0"/>
        </w:rPr>
        <w:t>20</w:t>
      </w:r>
      <w:r>
        <w:rPr>
          <w:rStyle w:val="15"/>
          <w:rFonts w:hint="eastAsia" w:ascii="黑体" w:hAnsi="黑体" w:eastAsia="黑体"/>
          <w:b w:val="0"/>
          <w:bCs w:val="0"/>
        </w:rPr>
        <w:t>19年度部门决算情况说明</w:t>
      </w:r>
      <w:bookmarkEnd w:id="35"/>
    </w:p>
    <w:p>
      <w:pPr>
        <w:pStyle w:val="16"/>
        <w:numPr>
          <w:ilvl w:val="0"/>
          <w:numId w:val="1"/>
        </w:numPr>
        <w:spacing w:line="600" w:lineRule="exact"/>
        <w:ind w:firstLineChars="0"/>
        <w:outlineLvl w:val="1"/>
        <w:rPr>
          <w:rStyle w:val="17"/>
          <w:rFonts w:ascii="黑体" w:hAnsi="黑体" w:eastAsia="黑体"/>
          <w:b w:val="0"/>
        </w:rPr>
      </w:pPr>
      <w:bookmarkStart w:id="36" w:name="_Toc21011"/>
      <w:bookmarkStart w:id="37" w:name="_Toc15377205"/>
      <w:bookmarkStart w:id="38" w:name="_Toc15396603"/>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36"/>
      <w:bookmarkEnd w:id="37"/>
      <w:bookmarkEnd w:id="38"/>
    </w:p>
    <w:p>
      <w:pPr>
        <w:ind w:firstLine="640" w:firstLineChars="200"/>
        <w:jc w:val="left"/>
      </w:pPr>
      <w:r>
        <w:rPr>
          <w:rFonts w:hint="eastAsia" w:ascii="仿宋" w:hAnsi="仿宋" w:eastAsia="仿宋"/>
          <w:color w:val="000000"/>
          <w:sz w:val="32"/>
          <w:szCs w:val="32"/>
        </w:rPr>
        <w:t>2019年度收、支总</w:t>
      </w:r>
      <w:r>
        <w:rPr>
          <w:rFonts w:hint="eastAsia" w:ascii="仿宋" w:hAnsi="仿宋" w:eastAsia="仿宋"/>
          <w:color w:val="000000"/>
          <w:sz w:val="32"/>
          <w:szCs w:val="32"/>
          <w:highlight w:val="none"/>
        </w:rPr>
        <w:t>计189865.48万元，</w:t>
      </w:r>
      <w:r>
        <w:rPr>
          <w:rFonts w:hint="eastAsia" w:ascii="仿宋" w:hAnsi="仿宋" w:eastAsia="仿宋"/>
          <w:color w:val="000000"/>
          <w:sz w:val="32"/>
          <w:szCs w:val="32"/>
        </w:rPr>
        <w:t>与2018年相比，收、支总计增加18393.10万元，增长10.73%。主要变动原因是事业收入增加18212.11万元。</w:t>
      </w:r>
    </w:p>
    <w:p>
      <w:r>
        <w:drawing>
          <wp:inline distT="0" distB="0" distL="0" distR="0">
            <wp:extent cx="5204460" cy="2324100"/>
            <wp:effectExtent l="19050" t="0" r="1524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6"/>
        <w:numPr>
          <w:ilvl w:val="0"/>
          <w:numId w:val="1"/>
        </w:numPr>
        <w:spacing w:line="600" w:lineRule="exact"/>
        <w:ind w:firstLineChars="0"/>
        <w:outlineLvl w:val="1"/>
        <w:rPr>
          <w:rStyle w:val="17"/>
          <w:rFonts w:ascii="黑体" w:hAnsi="黑体" w:eastAsia="黑体"/>
          <w:b w:val="0"/>
        </w:rPr>
      </w:pPr>
      <w:bookmarkStart w:id="39" w:name="_Toc2807"/>
      <w:bookmarkStart w:id="40" w:name="_Toc15396604"/>
      <w:bookmarkStart w:id="41" w:name="_Toc15377206"/>
      <w:r>
        <w:rPr>
          <w:rFonts w:hint="eastAsia" w:ascii="黑体" w:hAnsi="黑体" w:eastAsia="黑体"/>
          <w:color w:val="000000"/>
          <w:sz w:val="32"/>
          <w:szCs w:val="32"/>
        </w:rPr>
        <w:t>收</w:t>
      </w:r>
      <w:r>
        <w:rPr>
          <w:rStyle w:val="17"/>
          <w:rFonts w:hint="eastAsia" w:ascii="黑体" w:hAnsi="黑体" w:eastAsia="黑体"/>
          <w:b w:val="0"/>
        </w:rPr>
        <w:t>入决算情况说明</w:t>
      </w:r>
      <w:bookmarkEnd w:id="39"/>
      <w:bookmarkEnd w:id="40"/>
      <w:bookmarkEnd w:id="41"/>
    </w:p>
    <w:p>
      <w:pPr>
        <w:spacing w:line="600" w:lineRule="exact"/>
        <w:ind w:firstLine="640" w:firstLineChars="200"/>
        <w:outlineLvl w:val="1"/>
        <w:rPr>
          <w:rFonts w:ascii="仿宋" w:hAnsi="仿宋" w:eastAsia="仿宋"/>
          <w:color w:val="000000"/>
          <w:sz w:val="32"/>
          <w:szCs w:val="32"/>
        </w:rPr>
      </w:pPr>
      <w:bookmarkStart w:id="42" w:name="_Toc5075"/>
      <w:bookmarkStart w:id="43" w:name="_Toc17511"/>
      <w:bookmarkStart w:id="44" w:name="_Toc12794"/>
      <w:bookmarkStart w:id="45" w:name="_Toc7540"/>
      <w:bookmarkStart w:id="46" w:name="_Toc11015"/>
      <w:r>
        <w:rPr>
          <w:rFonts w:ascii="仿宋" w:hAnsi="仿宋" w:eastAsia="仿宋"/>
          <w:color w:val="000000"/>
          <w:sz w:val="32"/>
          <w:szCs w:val="32"/>
        </w:rPr>
        <w:t>20</w:t>
      </w:r>
      <w:r>
        <w:rPr>
          <w:rFonts w:hint="eastAsia" w:ascii="仿宋" w:hAnsi="仿宋" w:eastAsia="仿宋"/>
          <w:color w:val="000000"/>
          <w:sz w:val="32"/>
          <w:szCs w:val="32"/>
        </w:rPr>
        <w:t>19年本年收入合计</w:t>
      </w:r>
      <w:r>
        <w:rPr>
          <w:rFonts w:hint="eastAsia" w:ascii="仿宋" w:hAnsi="仿宋" w:eastAsia="仿宋"/>
          <w:color w:val="000000"/>
          <w:sz w:val="32"/>
          <w:szCs w:val="32"/>
          <w:highlight w:val="none"/>
        </w:rPr>
        <w:t>185615.14万</w:t>
      </w:r>
      <w:r>
        <w:rPr>
          <w:rFonts w:hint="eastAsia" w:ascii="仿宋" w:hAnsi="仿宋" w:eastAsia="仿宋"/>
          <w:color w:val="000000"/>
          <w:sz w:val="32"/>
          <w:szCs w:val="32"/>
        </w:rPr>
        <w:t>元，其中：一般公共预算财政拨款收入3930.69万元，占2.12</w:t>
      </w:r>
      <w:r>
        <w:rPr>
          <w:rFonts w:ascii="仿宋" w:hAnsi="仿宋" w:eastAsia="仿宋"/>
          <w:color w:val="000000"/>
          <w:sz w:val="32"/>
          <w:szCs w:val="32"/>
        </w:rPr>
        <w:t>%</w:t>
      </w:r>
      <w:r>
        <w:rPr>
          <w:rFonts w:hint="eastAsia" w:ascii="仿宋" w:hAnsi="仿宋" w:eastAsia="仿宋"/>
          <w:color w:val="000000"/>
          <w:sz w:val="32"/>
          <w:szCs w:val="32"/>
        </w:rPr>
        <w:t>；事业收入181684.45万元，占97.88</w:t>
      </w:r>
      <w:r>
        <w:rPr>
          <w:rFonts w:ascii="仿宋" w:hAnsi="仿宋" w:eastAsia="仿宋"/>
          <w:color w:val="000000"/>
          <w:sz w:val="32"/>
          <w:szCs w:val="32"/>
        </w:rPr>
        <w:t>%</w:t>
      </w:r>
      <w:r>
        <w:rPr>
          <w:rFonts w:hint="eastAsia" w:ascii="仿宋" w:hAnsi="仿宋" w:eastAsia="仿宋"/>
          <w:color w:val="000000"/>
          <w:sz w:val="32"/>
          <w:szCs w:val="32"/>
        </w:rPr>
        <w:t>。</w:t>
      </w:r>
      <w:bookmarkEnd w:id="42"/>
      <w:bookmarkEnd w:id="43"/>
      <w:bookmarkEnd w:id="44"/>
      <w:bookmarkEnd w:id="45"/>
      <w:bookmarkEnd w:id="46"/>
    </w:p>
    <w:p>
      <w:pPr>
        <w:jc w:val="center"/>
      </w:pPr>
      <w:r>
        <w:drawing>
          <wp:inline distT="0" distB="0" distL="0" distR="0">
            <wp:extent cx="4572000" cy="2255520"/>
            <wp:effectExtent l="19050" t="0" r="1905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6"/>
        <w:numPr>
          <w:ilvl w:val="0"/>
          <w:numId w:val="1"/>
        </w:numPr>
        <w:spacing w:line="600" w:lineRule="exact"/>
        <w:ind w:firstLineChars="0"/>
        <w:outlineLvl w:val="1"/>
        <w:rPr>
          <w:rStyle w:val="17"/>
          <w:rFonts w:ascii="黑体" w:hAnsi="黑体" w:eastAsia="黑体"/>
          <w:b w:val="0"/>
        </w:rPr>
      </w:pPr>
      <w:bookmarkStart w:id="47" w:name="_Toc15396605"/>
      <w:bookmarkStart w:id="48" w:name="_Toc3380"/>
      <w:bookmarkStart w:id="49" w:name="_Toc15377207"/>
      <w:r>
        <w:rPr>
          <w:rFonts w:hint="eastAsia" w:ascii="黑体" w:hAnsi="黑体" w:eastAsia="黑体"/>
          <w:color w:val="000000"/>
          <w:sz w:val="32"/>
          <w:szCs w:val="32"/>
        </w:rPr>
        <w:t>支</w:t>
      </w:r>
      <w:r>
        <w:rPr>
          <w:rStyle w:val="17"/>
          <w:rFonts w:hint="eastAsia" w:ascii="黑体" w:hAnsi="黑体" w:eastAsia="黑体"/>
          <w:b w:val="0"/>
        </w:rPr>
        <w:t>出决算情况说明</w:t>
      </w:r>
      <w:bookmarkEnd w:id="47"/>
      <w:bookmarkEnd w:id="48"/>
      <w:bookmarkEnd w:id="49"/>
    </w:p>
    <w:p>
      <w:pPr>
        <w:spacing w:line="600" w:lineRule="exact"/>
        <w:ind w:firstLine="640" w:firstLineChars="200"/>
        <w:outlineLvl w:val="1"/>
        <w:rPr>
          <w:rFonts w:ascii="仿宋" w:hAnsi="仿宋" w:eastAsia="仿宋"/>
          <w:color w:val="000000"/>
          <w:sz w:val="32"/>
          <w:szCs w:val="32"/>
        </w:rPr>
      </w:pPr>
      <w:bookmarkStart w:id="50" w:name="_Toc17157"/>
      <w:bookmarkStart w:id="51" w:name="_Toc22498"/>
      <w:bookmarkStart w:id="52" w:name="_Toc27709"/>
      <w:bookmarkStart w:id="53" w:name="_Toc1991"/>
      <w:bookmarkStart w:id="54" w:name="_Toc14863"/>
      <w:r>
        <w:rPr>
          <w:rFonts w:ascii="仿宋" w:hAnsi="仿宋" w:eastAsia="仿宋"/>
          <w:color w:val="000000"/>
          <w:sz w:val="32"/>
          <w:szCs w:val="32"/>
        </w:rPr>
        <w:t>20</w:t>
      </w:r>
      <w:r>
        <w:rPr>
          <w:rFonts w:hint="eastAsia" w:ascii="仿宋" w:hAnsi="仿宋" w:eastAsia="仿宋"/>
          <w:color w:val="000000"/>
          <w:sz w:val="32"/>
          <w:szCs w:val="32"/>
        </w:rPr>
        <w:t>19年本年支出合计179405.85 万元，其中：基本支出176948.04 万元，占98.63</w:t>
      </w:r>
      <w:r>
        <w:rPr>
          <w:rFonts w:ascii="仿宋" w:hAnsi="仿宋" w:eastAsia="仿宋"/>
          <w:color w:val="000000"/>
          <w:sz w:val="32"/>
          <w:szCs w:val="32"/>
        </w:rPr>
        <w:t>%</w:t>
      </w:r>
      <w:r>
        <w:rPr>
          <w:rFonts w:hint="eastAsia" w:ascii="仿宋" w:hAnsi="仿宋" w:eastAsia="仿宋"/>
          <w:color w:val="000000"/>
          <w:sz w:val="32"/>
          <w:szCs w:val="32"/>
        </w:rPr>
        <w:t>；项目支出2457.81万元，占1.37</w:t>
      </w:r>
      <w:r>
        <w:rPr>
          <w:rFonts w:ascii="仿宋" w:hAnsi="仿宋" w:eastAsia="仿宋"/>
          <w:color w:val="000000"/>
          <w:sz w:val="32"/>
          <w:szCs w:val="32"/>
        </w:rPr>
        <w:t>%</w:t>
      </w:r>
      <w:r>
        <w:rPr>
          <w:rFonts w:hint="eastAsia" w:ascii="仿宋" w:hAnsi="仿宋" w:eastAsia="仿宋"/>
          <w:color w:val="000000"/>
          <w:sz w:val="32"/>
          <w:szCs w:val="32"/>
        </w:rPr>
        <w:t>。</w:t>
      </w:r>
      <w:bookmarkEnd w:id="50"/>
      <w:bookmarkEnd w:id="51"/>
      <w:bookmarkEnd w:id="52"/>
      <w:bookmarkEnd w:id="53"/>
      <w:bookmarkEnd w:id="54"/>
    </w:p>
    <w:p>
      <w:pPr>
        <w:ind w:firstLine="420" w:firstLineChars="200"/>
        <w:jc w:val="left"/>
      </w:pPr>
      <w:r>
        <w:drawing>
          <wp:inline distT="0" distB="0" distL="0" distR="0">
            <wp:extent cx="4572000" cy="2743200"/>
            <wp:effectExtent l="19050" t="0" r="1905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17"/>
          <w:rFonts w:ascii="黑体" w:hAnsi="黑体" w:eastAsia="黑体"/>
          <w:b w:val="0"/>
        </w:rPr>
      </w:pPr>
      <w:bookmarkStart w:id="55" w:name="_Toc15396606"/>
      <w:bookmarkStart w:id="56" w:name="_Toc15377208"/>
      <w:bookmarkStart w:id="57" w:name="_Toc626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55"/>
      <w:bookmarkEnd w:id="56"/>
      <w:bookmarkEnd w:id="5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19年财政拨款收、支总计8055.36万元，与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8年相比，财政拨款收、支总计增加111.37万元，增长1.40</w:t>
      </w:r>
      <w:r>
        <w:rPr>
          <w:rFonts w:ascii="仿宋" w:hAnsi="仿宋" w:eastAsia="仿宋"/>
          <w:color w:val="000000"/>
          <w:sz w:val="32"/>
          <w:szCs w:val="32"/>
        </w:rPr>
        <w:t>%</w:t>
      </w:r>
      <w:r>
        <w:rPr>
          <w:rFonts w:hint="eastAsia" w:ascii="仿宋" w:hAnsi="仿宋" w:eastAsia="仿宋"/>
          <w:color w:val="000000"/>
          <w:sz w:val="32"/>
          <w:szCs w:val="32"/>
        </w:rPr>
        <w:t>，主要变动原因受其他卫生健康支出增加影响。</w:t>
      </w:r>
    </w:p>
    <w:p>
      <w:pPr>
        <w:jc w:val="center"/>
      </w:pPr>
      <w:r>
        <w:drawing>
          <wp:inline distT="0" distB="0" distL="0" distR="0">
            <wp:extent cx="4572000" cy="2743200"/>
            <wp:effectExtent l="19050" t="0" r="19050"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pPr>
    </w:p>
    <w:p>
      <w:pPr>
        <w:spacing w:line="600" w:lineRule="exact"/>
        <w:ind w:firstLine="640" w:firstLineChars="200"/>
        <w:outlineLvl w:val="1"/>
        <w:rPr>
          <w:rStyle w:val="17"/>
          <w:rFonts w:ascii="黑体" w:hAnsi="黑体" w:eastAsia="黑体"/>
          <w:b w:val="0"/>
        </w:rPr>
      </w:pPr>
      <w:bookmarkStart w:id="58" w:name="_Toc15396607"/>
      <w:bookmarkStart w:id="59" w:name="_Toc15377209"/>
      <w:bookmarkStart w:id="60" w:name="_Toc31520"/>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58"/>
      <w:bookmarkEnd w:id="59"/>
      <w:bookmarkEnd w:id="60"/>
    </w:p>
    <w:p>
      <w:pPr>
        <w:spacing w:line="600" w:lineRule="exact"/>
        <w:ind w:firstLine="642" w:firstLineChars="200"/>
        <w:outlineLvl w:val="2"/>
        <w:rPr>
          <w:rFonts w:ascii="仿宋" w:hAnsi="仿宋" w:eastAsia="仿宋"/>
          <w:b/>
          <w:color w:val="000000"/>
          <w:sz w:val="32"/>
          <w:szCs w:val="32"/>
        </w:rPr>
      </w:pPr>
      <w:bookmarkStart w:id="61" w:name="_Toc4799"/>
      <w:bookmarkStart w:id="62" w:name="_Toc15377210"/>
      <w:r>
        <w:rPr>
          <w:rFonts w:hint="eastAsia" w:ascii="仿宋" w:hAnsi="仿宋" w:eastAsia="仿宋"/>
          <w:b/>
          <w:color w:val="000000"/>
          <w:sz w:val="32"/>
          <w:szCs w:val="32"/>
        </w:rPr>
        <w:t>（一）一般公共预算财政拨款支出决算总体情况</w:t>
      </w:r>
      <w:bookmarkEnd w:id="61"/>
      <w:bookmarkEnd w:id="6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19年一般公共预算财政拨</w:t>
      </w:r>
      <w:r>
        <w:rPr>
          <w:rFonts w:hint="eastAsia" w:ascii="仿宋" w:hAnsi="仿宋" w:eastAsia="仿宋"/>
          <w:color w:val="000000"/>
          <w:sz w:val="32"/>
          <w:szCs w:val="32"/>
          <w:highlight w:val="none"/>
        </w:rPr>
        <w:t>款支出3849.04 万</w:t>
      </w:r>
      <w:r>
        <w:rPr>
          <w:rFonts w:hint="eastAsia" w:ascii="仿宋" w:hAnsi="仿宋" w:eastAsia="仿宋"/>
          <w:color w:val="000000"/>
          <w:sz w:val="32"/>
          <w:szCs w:val="32"/>
        </w:rPr>
        <w:t>元，占本年支出合计的2.15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18年相比，一般公共预算财政拨款支出增加81.50万元，减少2.16</w:t>
      </w:r>
      <w:r>
        <w:rPr>
          <w:rFonts w:ascii="仿宋" w:hAnsi="仿宋" w:eastAsia="仿宋"/>
          <w:color w:val="000000"/>
          <w:sz w:val="32"/>
          <w:szCs w:val="32"/>
        </w:rPr>
        <w:t>%</w:t>
      </w:r>
      <w:r>
        <w:rPr>
          <w:rFonts w:hint="eastAsia" w:ascii="仿宋" w:hAnsi="仿宋" w:eastAsia="仿宋"/>
          <w:color w:val="000000"/>
          <w:sz w:val="32"/>
          <w:szCs w:val="32"/>
        </w:rPr>
        <w:t>。</w:t>
      </w:r>
    </w:p>
    <w:p>
      <w:pPr>
        <w:jc w:val="center"/>
      </w:pPr>
      <w:r>
        <w:drawing>
          <wp:inline distT="0" distB="0" distL="0" distR="0">
            <wp:extent cx="4572000" cy="2278380"/>
            <wp:effectExtent l="19050" t="0" r="19050" b="7620"/>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2" w:firstLineChars="200"/>
        <w:outlineLvl w:val="2"/>
        <w:rPr>
          <w:rFonts w:ascii="仿宋" w:hAnsi="仿宋" w:eastAsia="仿宋"/>
          <w:b/>
          <w:color w:val="000000"/>
          <w:sz w:val="32"/>
          <w:szCs w:val="32"/>
        </w:rPr>
      </w:pPr>
      <w:bookmarkStart w:id="63" w:name="_Toc15377211"/>
      <w:bookmarkStart w:id="64" w:name="_Toc27697"/>
      <w:r>
        <w:rPr>
          <w:rFonts w:hint="eastAsia" w:ascii="仿宋" w:hAnsi="仿宋" w:eastAsia="仿宋"/>
          <w:b/>
          <w:color w:val="000000"/>
          <w:sz w:val="32"/>
          <w:szCs w:val="32"/>
        </w:rPr>
        <w:t>（二）一般公共预算财政拨款支出决算结构情况</w:t>
      </w:r>
      <w:bookmarkEnd w:id="63"/>
      <w:bookmarkEnd w:id="64"/>
    </w:p>
    <w:p>
      <w:pPr>
        <w:spacing w:line="600" w:lineRule="exact"/>
        <w:ind w:firstLine="640"/>
        <w:rPr>
          <w:rFonts w:ascii="仿宋" w:hAnsi="仿宋" w:eastAsia="仿宋"/>
          <w:b/>
          <w:bCs/>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19年一般公共预算财政</w:t>
      </w:r>
      <w:r>
        <w:rPr>
          <w:rFonts w:hint="eastAsia" w:ascii="仿宋" w:hAnsi="仿宋" w:eastAsia="仿宋"/>
          <w:color w:val="000000"/>
          <w:sz w:val="32"/>
          <w:szCs w:val="32"/>
          <w:highlight w:val="none"/>
        </w:rPr>
        <w:t>拨款支出3849.04万元，</w:t>
      </w:r>
      <w:r>
        <w:rPr>
          <w:rFonts w:hint="eastAsia" w:ascii="仿宋" w:hAnsi="仿宋" w:eastAsia="仿宋"/>
          <w:color w:val="000000"/>
          <w:sz w:val="32"/>
          <w:szCs w:val="32"/>
        </w:rPr>
        <w:t>主要用于以下方面</w:t>
      </w:r>
      <w:r>
        <w:rPr>
          <w:rFonts w:ascii="仿宋" w:hAnsi="仿宋" w:eastAsia="仿宋"/>
          <w:color w:val="000000"/>
          <w:sz w:val="32"/>
          <w:szCs w:val="32"/>
        </w:rPr>
        <w:t>:</w:t>
      </w:r>
      <w:r>
        <w:rPr>
          <w:rFonts w:hint="eastAsia" w:ascii="仿宋" w:hAnsi="仿宋" w:eastAsia="仿宋"/>
          <w:b/>
          <w:color w:val="000000"/>
          <w:sz w:val="32"/>
          <w:szCs w:val="32"/>
        </w:rPr>
        <w:t>科学技术</w:t>
      </w:r>
      <w:r>
        <w:rPr>
          <w:rFonts w:hint="eastAsia" w:ascii="仿宋" w:hAnsi="仿宋" w:eastAsia="仿宋"/>
          <w:b/>
          <w:bCs/>
          <w:color w:val="000000"/>
          <w:sz w:val="32"/>
          <w:szCs w:val="32"/>
        </w:rPr>
        <w:t>支出</w:t>
      </w:r>
      <w:r>
        <w:rPr>
          <w:rFonts w:hint="eastAsia" w:ascii="仿宋" w:hAnsi="仿宋" w:eastAsia="仿宋"/>
          <w:b/>
          <w:color w:val="000000"/>
          <w:sz w:val="32"/>
          <w:szCs w:val="32"/>
        </w:rPr>
        <w:t>（类）</w:t>
      </w:r>
      <w:r>
        <w:rPr>
          <w:rFonts w:hint="eastAsia" w:ascii="仿宋" w:hAnsi="仿宋" w:eastAsia="仿宋"/>
          <w:color w:val="000000"/>
          <w:sz w:val="32"/>
          <w:szCs w:val="32"/>
        </w:rPr>
        <w:t>0.40万元，占0.01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社会保障和就业支出（类）</w:t>
      </w:r>
      <w:r>
        <w:rPr>
          <w:rFonts w:hint="eastAsia" w:ascii="仿宋" w:hAnsi="仿宋" w:eastAsia="仿宋"/>
          <w:color w:val="000000"/>
          <w:sz w:val="32"/>
          <w:szCs w:val="32"/>
        </w:rPr>
        <w:t>2.70万元，占0.07%；</w:t>
      </w:r>
      <w:r>
        <w:rPr>
          <w:rFonts w:hint="eastAsia" w:ascii="仿宋" w:hAnsi="仿宋" w:eastAsia="仿宋"/>
          <w:b/>
          <w:bCs/>
          <w:color w:val="000000"/>
          <w:sz w:val="32"/>
          <w:szCs w:val="32"/>
        </w:rPr>
        <w:t>卫生健康支出（类）</w:t>
      </w:r>
      <w:r>
        <w:rPr>
          <w:rFonts w:hint="eastAsia" w:ascii="仿宋" w:hAnsi="仿宋" w:eastAsia="仿宋"/>
          <w:color w:val="000000"/>
          <w:sz w:val="32"/>
          <w:szCs w:val="32"/>
        </w:rPr>
        <w:t>3845.94万元，占99.92</w:t>
      </w:r>
      <w:r>
        <w:rPr>
          <w:rFonts w:ascii="仿宋" w:hAnsi="仿宋" w:eastAsia="仿宋"/>
          <w:color w:val="000000"/>
          <w:sz w:val="32"/>
          <w:szCs w:val="32"/>
        </w:rPr>
        <w:t>%</w:t>
      </w:r>
      <w:r>
        <w:rPr>
          <w:rFonts w:hint="eastAsia" w:ascii="仿宋" w:hAnsi="仿宋" w:eastAsia="仿宋"/>
          <w:color w:val="000000"/>
          <w:sz w:val="32"/>
          <w:szCs w:val="32"/>
        </w:rPr>
        <w:t>。</w:t>
      </w:r>
    </w:p>
    <w:p>
      <w:pPr>
        <w:jc w:val="center"/>
      </w:pPr>
      <w:r>
        <w:drawing>
          <wp:inline distT="0" distB="0" distL="0" distR="0">
            <wp:extent cx="4572000" cy="2049780"/>
            <wp:effectExtent l="19050" t="0" r="19050" b="7620"/>
            <wp:docPr id="1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color w:val="000000"/>
          <w:sz w:val="32"/>
          <w:szCs w:val="32"/>
        </w:rPr>
      </w:pPr>
      <w:bookmarkStart w:id="65" w:name="_Toc8732"/>
      <w:bookmarkStart w:id="66" w:name="_Toc15377212"/>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65"/>
      <w:bookmarkEnd w:id="66"/>
    </w:p>
    <w:p>
      <w:pPr>
        <w:ind w:firstLine="640" w:firstLineChars="200"/>
        <w:rPr>
          <w:rFonts w:ascii="仿宋" w:hAnsi="仿宋" w:eastAsia="仿宋"/>
          <w:color w:val="000000"/>
          <w:sz w:val="32"/>
          <w:szCs w:val="32"/>
        </w:rPr>
      </w:pPr>
      <w:bookmarkStart w:id="67" w:name="_Toc15377444"/>
      <w:bookmarkStart w:id="68" w:name="_Toc15377213"/>
      <w:bookmarkStart w:id="69" w:name="_Toc15378460"/>
      <w:r>
        <w:rPr>
          <w:rFonts w:hint="eastAsia" w:ascii="仿宋" w:hAnsi="仿宋" w:eastAsia="仿宋"/>
          <w:color w:val="000000"/>
          <w:sz w:val="32"/>
          <w:szCs w:val="32"/>
        </w:rPr>
        <w:t>2019年一般公共预算支出决</w:t>
      </w:r>
      <w:r>
        <w:rPr>
          <w:rFonts w:hint="eastAsia" w:ascii="仿宋" w:hAnsi="仿宋" w:eastAsia="仿宋"/>
          <w:color w:val="000000"/>
          <w:sz w:val="32"/>
          <w:szCs w:val="32"/>
          <w:highlight w:val="none"/>
        </w:rPr>
        <w:t>算数为2399.45万元，</w:t>
      </w:r>
      <w:r>
        <w:rPr>
          <w:rFonts w:hint="eastAsia" w:ascii="仿宋" w:hAnsi="仿宋" w:eastAsia="仿宋"/>
          <w:color w:val="000000"/>
          <w:sz w:val="32"/>
          <w:szCs w:val="32"/>
        </w:rPr>
        <w:t>完成预算100%。其中：</w:t>
      </w:r>
      <w:bookmarkEnd w:id="67"/>
      <w:bookmarkEnd w:id="68"/>
      <w:bookmarkEnd w:id="69"/>
    </w:p>
    <w:p>
      <w:pPr>
        <w:spacing w:line="600" w:lineRule="exact"/>
        <w:ind w:firstLine="642" w:firstLineChars="200"/>
        <w:rPr>
          <w:rStyle w:val="13"/>
          <w:rFonts w:ascii="仿宋" w:hAnsi="仿宋" w:eastAsia="仿宋"/>
          <w:b w:val="0"/>
          <w:bCs/>
          <w:sz w:val="32"/>
          <w:szCs w:val="32"/>
        </w:rPr>
      </w:pPr>
      <w:r>
        <w:rPr>
          <w:rStyle w:val="13"/>
          <w:rFonts w:hint="eastAsia" w:ascii="仿宋" w:hAnsi="仿宋" w:eastAsia="仿宋"/>
          <w:bCs/>
          <w:sz w:val="32"/>
          <w:szCs w:val="32"/>
        </w:rPr>
        <w:t>1.科学技术（类）科技重大项目（款）科技重大专项（项）</w:t>
      </w:r>
      <w:r>
        <w:rPr>
          <w:rStyle w:val="13"/>
          <w:rFonts w:ascii="仿宋" w:hAnsi="仿宋" w:eastAsia="仿宋"/>
          <w:bCs/>
          <w:sz w:val="32"/>
          <w:szCs w:val="32"/>
        </w:rPr>
        <w:t>:</w:t>
      </w:r>
      <w:r>
        <w:rPr>
          <w:rStyle w:val="13"/>
          <w:rFonts w:hint="eastAsia" w:ascii="仿宋" w:hAnsi="仿宋" w:eastAsia="仿宋"/>
          <w:b w:val="0"/>
          <w:bCs/>
          <w:sz w:val="32"/>
          <w:szCs w:val="32"/>
        </w:rPr>
        <w:t>支出决算为0.40万元，完成预算100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3"/>
          <w:rFonts w:hint="eastAsia" w:ascii="仿宋" w:hAnsi="仿宋" w:eastAsia="仿宋"/>
          <w:bCs/>
          <w:sz w:val="32"/>
          <w:szCs w:val="32"/>
        </w:rPr>
        <w:t>2</w:t>
      </w:r>
      <w:r>
        <w:rPr>
          <w:rStyle w:val="13"/>
          <w:rFonts w:ascii="仿宋" w:hAnsi="仿宋" w:eastAsia="仿宋"/>
          <w:bCs/>
          <w:sz w:val="32"/>
          <w:szCs w:val="32"/>
        </w:rPr>
        <w:t>.</w:t>
      </w:r>
      <w:r>
        <w:rPr>
          <w:rStyle w:val="13"/>
          <w:rFonts w:hint="eastAsia" w:ascii="仿宋" w:hAnsi="仿宋" w:eastAsia="仿宋"/>
          <w:bCs/>
          <w:sz w:val="32"/>
          <w:szCs w:val="32"/>
        </w:rPr>
        <w:t>社会保障和就业支出（类）残疾人事业（款）残疾人康复（项）</w:t>
      </w:r>
      <w:r>
        <w:rPr>
          <w:rStyle w:val="13"/>
          <w:rFonts w:ascii="仿宋" w:hAnsi="仿宋" w:eastAsia="仿宋"/>
          <w:bCs/>
          <w:sz w:val="32"/>
          <w:szCs w:val="32"/>
        </w:rPr>
        <w:t>:</w:t>
      </w:r>
      <w:r>
        <w:rPr>
          <w:rStyle w:val="13"/>
          <w:rFonts w:hint="eastAsia" w:ascii="仿宋" w:hAnsi="仿宋" w:eastAsia="仿宋"/>
          <w:b w:val="0"/>
          <w:bCs/>
          <w:sz w:val="32"/>
          <w:szCs w:val="32"/>
        </w:rPr>
        <w:t>支出决算为2.70万元，完成预算100%。</w:t>
      </w:r>
    </w:p>
    <w:p>
      <w:pPr>
        <w:spacing w:line="600" w:lineRule="exact"/>
        <w:ind w:firstLine="642" w:firstLineChars="200"/>
        <w:rPr>
          <w:rStyle w:val="13"/>
          <w:rFonts w:ascii="仿宋" w:hAnsi="仿宋" w:eastAsia="仿宋"/>
          <w:b w:val="0"/>
          <w:bCs/>
          <w:sz w:val="32"/>
          <w:szCs w:val="32"/>
        </w:rPr>
      </w:pPr>
      <w:r>
        <w:rPr>
          <w:rStyle w:val="13"/>
          <w:rFonts w:hint="eastAsia" w:ascii="仿宋" w:hAnsi="仿宋" w:eastAsia="仿宋"/>
          <w:bCs/>
          <w:sz w:val="32"/>
          <w:szCs w:val="32"/>
        </w:rPr>
        <w:t>3</w:t>
      </w:r>
      <w:r>
        <w:rPr>
          <w:rStyle w:val="13"/>
          <w:rFonts w:ascii="仿宋" w:hAnsi="仿宋" w:eastAsia="仿宋"/>
          <w:bCs/>
          <w:sz w:val="32"/>
          <w:szCs w:val="32"/>
        </w:rPr>
        <w:t>.</w:t>
      </w:r>
      <w:r>
        <w:rPr>
          <w:rFonts w:hint="eastAsia" w:ascii="仿宋" w:hAnsi="仿宋" w:eastAsia="仿宋"/>
          <w:b/>
          <w:bCs/>
          <w:sz w:val="32"/>
          <w:szCs w:val="32"/>
        </w:rPr>
        <w:t>卫生健康</w:t>
      </w:r>
      <w:r>
        <w:rPr>
          <w:rStyle w:val="13"/>
          <w:rFonts w:hint="eastAsia" w:ascii="仿宋" w:hAnsi="仿宋" w:eastAsia="仿宋"/>
          <w:bCs/>
          <w:sz w:val="32"/>
          <w:szCs w:val="32"/>
        </w:rPr>
        <w:t>支出（类）基层医疗卫生机构（款）其他基层医疗卫生机构支出（项）</w:t>
      </w:r>
      <w:r>
        <w:rPr>
          <w:rStyle w:val="13"/>
          <w:rFonts w:ascii="仿宋" w:hAnsi="仿宋" w:eastAsia="仿宋"/>
          <w:bCs/>
          <w:sz w:val="32"/>
          <w:szCs w:val="32"/>
        </w:rPr>
        <w:t>:</w:t>
      </w:r>
      <w:r>
        <w:rPr>
          <w:rStyle w:val="13"/>
          <w:rFonts w:hint="eastAsia" w:ascii="仿宋" w:hAnsi="仿宋" w:eastAsia="仿宋"/>
          <w:b w:val="0"/>
          <w:bCs/>
          <w:sz w:val="32"/>
          <w:szCs w:val="32"/>
        </w:rPr>
        <w:t>支出决算为61.77万元，完成预算100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2" w:firstLineChars="200"/>
        <w:rPr>
          <w:rStyle w:val="13"/>
          <w:rFonts w:ascii="仿宋" w:hAnsi="仿宋" w:eastAsia="仿宋"/>
          <w:b w:val="0"/>
          <w:bCs/>
          <w:sz w:val="32"/>
          <w:szCs w:val="32"/>
        </w:rPr>
      </w:pPr>
      <w:r>
        <w:rPr>
          <w:rStyle w:val="13"/>
          <w:rFonts w:hint="eastAsia" w:ascii="仿宋" w:hAnsi="仿宋" w:eastAsia="仿宋"/>
          <w:bCs/>
          <w:sz w:val="32"/>
          <w:szCs w:val="32"/>
        </w:rPr>
        <w:t>4</w:t>
      </w:r>
      <w:r>
        <w:rPr>
          <w:rStyle w:val="13"/>
          <w:rFonts w:ascii="仿宋" w:hAnsi="仿宋" w:eastAsia="仿宋"/>
          <w:bCs/>
          <w:sz w:val="32"/>
          <w:szCs w:val="32"/>
        </w:rPr>
        <w:t>.</w:t>
      </w:r>
      <w:r>
        <w:rPr>
          <w:rFonts w:hint="eastAsia" w:ascii="仿宋" w:hAnsi="仿宋" w:eastAsia="仿宋"/>
          <w:b/>
          <w:bCs/>
          <w:sz w:val="32"/>
          <w:szCs w:val="32"/>
        </w:rPr>
        <w:t>卫生健康</w:t>
      </w:r>
      <w:r>
        <w:rPr>
          <w:rStyle w:val="13"/>
          <w:rFonts w:hint="eastAsia" w:ascii="仿宋" w:hAnsi="仿宋" w:eastAsia="仿宋"/>
          <w:bCs/>
          <w:sz w:val="32"/>
          <w:szCs w:val="32"/>
        </w:rPr>
        <w:t>支出（类）公共卫生（款）基本公共卫生服务（项）</w:t>
      </w:r>
      <w:r>
        <w:rPr>
          <w:rStyle w:val="13"/>
          <w:rFonts w:ascii="仿宋" w:hAnsi="仿宋" w:eastAsia="仿宋"/>
          <w:bCs/>
          <w:sz w:val="32"/>
          <w:szCs w:val="32"/>
        </w:rPr>
        <w:t>:</w:t>
      </w:r>
      <w:r>
        <w:rPr>
          <w:rStyle w:val="13"/>
          <w:rFonts w:hint="eastAsia" w:ascii="仿宋" w:hAnsi="仿宋" w:eastAsia="仿宋"/>
          <w:b w:val="0"/>
          <w:bCs/>
          <w:sz w:val="32"/>
          <w:szCs w:val="32"/>
        </w:rPr>
        <w:t>支出决算为245.42万元，完成预算100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2" w:firstLineChars="200"/>
        <w:rPr>
          <w:rStyle w:val="13"/>
          <w:rFonts w:ascii="仿宋" w:hAnsi="仿宋" w:eastAsia="仿宋"/>
          <w:b w:val="0"/>
          <w:bCs/>
          <w:sz w:val="32"/>
          <w:szCs w:val="32"/>
        </w:rPr>
      </w:pPr>
      <w:r>
        <w:rPr>
          <w:rStyle w:val="13"/>
          <w:rFonts w:hint="eastAsia" w:ascii="仿宋" w:hAnsi="仿宋" w:eastAsia="仿宋"/>
          <w:bCs/>
          <w:sz w:val="32"/>
          <w:szCs w:val="32"/>
        </w:rPr>
        <w:t>5</w:t>
      </w:r>
      <w:r>
        <w:rPr>
          <w:rStyle w:val="13"/>
          <w:rFonts w:ascii="仿宋" w:hAnsi="仿宋" w:eastAsia="仿宋"/>
          <w:bCs/>
          <w:sz w:val="32"/>
          <w:szCs w:val="32"/>
        </w:rPr>
        <w:t>.</w:t>
      </w:r>
      <w:r>
        <w:rPr>
          <w:rFonts w:hint="eastAsia" w:ascii="仿宋" w:hAnsi="仿宋" w:eastAsia="仿宋"/>
          <w:b/>
          <w:bCs/>
          <w:sz w:val="32"/>
          <w:szCs w:val="32"/>
        </w:rPr>
        <w:t>卫生健康</w:t>
      </w:r>
      <w:r>
        <w:rPr>
          <w:rStyle w:val="13"/>
          <w:rFonts w:hint="eastAsia" w:ascii="仿宋" w:hAnsi="仿宋" w:eastAsia="仿宋"/>
          <w:bCs/>
          <w:sz w:val="32"/>
          <w:szCs w:val="32"/>
        </w:rPr>
        <w:t>支出（类）公共卫生（款）重大公共卫生服务（项）</w:t>
      </w:r>
      <w:r>
        <w:rPr>
          <w:rStyle w:val="13"/>
          <w:rFonts w:ascii="仿宋" w:hAnsi="仿宋" w:eastAsia="仿宋"/>
          <w:bCs/>
          <w:sz w:val="32"/>
          <w:szCs w:val="32"/>
        </w:rPr>
        <w:t>:</w:t>
      </w:r>
      <w:r>
        <w:rPr>
          <w:rStyle w:val="13"/>
          <w:rFonts w:hint="eastAsia" w:ascii="仿宋" w:hAnsi="仿宋" w:eastAsia="仿宋"/>
          <w:b w:val="0"/>
          <w:bCs/>
          <w:sz w:val="32"/>
          <w:szCs w:val="32"/>
        </w:rPr>
        <w:t>支出决算为257.70万元，完成预算100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2" w:firstLineChars="200"/>
        <w:rPr>
          <w:rStyle w:val="13"/>
          <w:rFonts w:ascii="仿宋" w:hAnsi="仿宋" w:eastAsia="仿宋"/>
          <w:b w:val="0"/>
          <w:bCs/>
          <w:sz w:val="32"/>
          <w:szCs w:val="32"/>
        </w:rPr>
      </w:pPr>
      <w:r>
        <w:rPr>
          <w:rStyle w:val="13"/>
          <w:rFonts w:hint="eastAsia" w:ascii="仿宋" w:hAnsi="仿宋" w:eastAsia="仿宋"/>
          <w:bCs/>
          <w:sz w:val="32"/>
          <w:szCs w:val="32"/>
        </w:rPr>
        <w:t>6</w:t>
      </w:r>
      <w:r>
        <w:rPr>
          <w:rStyle w:val="13"/>
          <w:rFonts w:ascii="仿宋" w:hAnsi="仿宋" w:eastAsia="仿宋"/>
          <w:bCs/>
          <w:sz w:val="32"/>
          <w:szCs w:val="32"/>
        </w:rPr>
        <w:t>.</w:t>
      </w:r>
      <w:r>
        <w:rPr>
          <w:rFonts w:hint="eastAsia" w:ascii="仿宋" w:hAnsi="仿宋" w:eastAsia="仿宋"/>
          <w:b/>
          <w:bCs/>
          <w:sz w:val="32"/>
          <w:szCs w:val="32"/>
        </w:rPr>
        <w:t>卫生健康</w:t>
      </w:r>
      <w:r>
        <w:rPr>
          <w:rStyle w:val="13"/>
          <w:rFonts w:hint="eastAsia" w:ascii="仿宋" w:hAnsi="仿宋" w:eastAsia="仿宋"/>
          <w:bCs/>
          <w:sz w:val="32"/>
          <w:szCs w:val="32"/>
        </w:rPr>
        <w:t>支出（类）计划生育事务（款）其他计划生育事务支出（项）</w:t>
      </w:r>
      <w:r>
        <w:rPr>
          <w:rStyle w:val="13"/>
          <w:rFonts w:ascii="仿宋" w:hAnsi="仿宋" w:eastAsia="仿宋"/>
          <w:bCs/>
          <w:sz w:val="32"/>
          <w:szCs w:val="32"/>
        </w:rPr>
        <w:t>:</w:t>
      </w:r>
      <w:r>
        <w:rPr>
          <w:rStyle w:val="13"/>
          <w:rFonts w:hint="eastAsia" w:ascii="仿宋" w:hAnsi="仿宋" w:eastAsia="仿宋"/>
          <w:b w:val="0"/>
          <w:bCs/>
          <w:sz w:val="32"/>
          <w:szCs w:val="32"/>
        </w:rPr>
        <w:t>支出决算为0.76万元，完成预算100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2" w:firstLineChars="200"/>
        <w:rPr>
          <w:rStyle w:val="13"/>
          <w:rFonts w:ascii="仿宋" w:hAnsi="仿宋" w:eastAsia="仿宋"/>
          <w:b w:val="0"/>
          <w:bCs/>
          <w:sz w:val="32"/>
          <w:szCs w:val="32"/>
        </w:rPr>
      </w:pPr>
      <w:r>
        <w:rPr>
          <w:rStyle w:val="13"/>
          <w:rFonts w:hint="eastAsia" w:ascii="仿宋" w:hAnsi="仿宋" w:eastAsia="仿宋"/>
          <w:bCs/>
          <w:sz w:val="32"/>
          <w:szCs w:val="32"/>
        </w:rPr>
        <w:t>7</w:t>
      </w:r>
      <w:r>
        <w:rPr>
          <w:rStyle w:val="13"/>
          <w:rFonts w:ascii="仿宋" w:hAnsi="仿宋" w:eastAsia="仿宋"/>
          <w:bCs/>
          <w:sz w:val="32"/>
          <w:szCs w:val="32"/>
        </w:rPr>
        <w:t>.</w:t>
      </w:r>
      <w:r>
        <w:rPr>
          <w:rFonts w:hint="eastAsia" w:ascii="仿宋" w:hAnsi="仿宋" w:eastAsia="仿宋"/>
          <w:b/>
          <w:bCs/>
          <w:sz w:val="32"/>
          <w:szCs w:val="32"/>
        </w:rPr>
        <w:t>卫生健康</w:t>
      </w:r>
      <w:r>
        <w:rPr>
          <w:rStyle w:val="13"/>
          <w:rFonts w:hint="eastAsia" w:ascii="仿宋" w:hAnsi="仿宋" w:eastAsia="仿宋"/>
          <w:bCs/>
          <w:sz w:val="32"/>
          <w:szCs w:val="32"/>
        </w:rPr>
        <w:t>支出（类）其他卫生健康支出（款）其他卫生健康支出（项）</w:t>
      </w:r>
      <w:r>
        <w:rPr>
          <w:rStyle w:val="13"/>
          <w:rFonts w:ascii="仿宋" w:hAnsi="仿宋" w:eastAsia="仿宋"/>
          <w:bCs/>
          <w:sz w:val="32"/>
          <w:szCs w:val="32"/>
        </w:rPr>
        <w:t>:</w:t>
      </w:r>
      <w:r>
        <w:rPr>
          <w:rStyle w:val="13"/>
          <w:rFonts w:hint="eastAsia" w:ascii="仿宋" w:hAnsi="仿宋" w:eastAsia="仿宋"/>
          <w:b w:val="0"/>
          <w:bCs/>
          <w:sz w:val="32"/>
          <w:szCs w:val="32"/>
        </w:rPr>
        <w:t>支出决算为1830.70万元，完成预算100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tabs>
          <w:tab w:val="right" w:pos="8306"/>
        </w:tabs>
        <w:spacing w:line="600" w:lineRule="exact"/>
        <w:ind w:firstLine="640" w:firstLineChars="200"/>
        <w:outlineLvl w:val="1"/>
        <w:rPr>
          <w:rStyle w:val="17"/>
        </w:rPr>
      </w:pPr>
      <w:bookmarkStart w:id="70" w:name="_Toc15377214"/>
      <w:bookmarkStart w:id="71" w:name="_Toc15396608"/>
      <w:bookmarkStart w:id="72" w:name="_Toc4099"/>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70"/>
      <w:bookmarkEnd w:id="71"/>
      <w:bookmarkEnd w:id="72"/>
      <w:r>
        <w:rPr>
          <w:rStyle w:val="17"/>
          <w:rFonts w:ascii="黑体" w:hAnsi="黑体" w:eastAsia="黑体"/>
          <w:b w:val="0"/>
        </w:rPr>
        <w:tab/>
      </w:r>
    </w:p>
    <w:p>
      <w:pPr>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19年一般公共预算财政拨款基本</w:t>
      </w:r>
      <w:r>
        <w:rPr>
          <w:rFonts w:hint="eastAsia" w:ascii="仿宋" w:hAnsi="仿宋" w:eastAsia="仿宋"/>
          <w:color w:val="000000"/>
          <w:sz w:val="32"/>
          <w:szCs w:val="32"/>
          <w:highlight w:val="none"/>
        </w:rPr>
        <w:t>支出1449.59万元，</w:t>
      </w:r>
      <w:r>
        <w:rPr>
          <w:rFonts w:hint="eastAsia" w:ascii="仿宋" w:hAnsi="仿宋" w:eastAsia="仿宋"/>
          <w:color w:val="000000"/>
          <w:sz w:val="32"/>
          <w:szCs w:val="32"/>
        </w:rPr>
        <w:t>其中：</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人员经费1449.59万元，为基本工资支出813.34万元、机关事业单位基本养老保险费636.25万元。</w:t>
      </w:r>
    </w:p>
    <w:p>
      <w:pPr>
        <w:spacing w:line="600" w:lineRule="exact"/>
        <w:ind w:firstLine="640"/>
        <w:outlineLvl w:val="1"/>
        <w:rPr>
          <w:rStyle w:val="17"/>
          <w:rFonts w:ascii="黑体" w:hAnsi="黑体" w:eastAsia="黑体"/>
          <w:b w:val="0"/>
        </w:rPr>
      </w:pPr>
      <w:bookmarkStart w:id="73" w:name="_Toc15396609"/>
      <w:bookmarkStart w:id="74" w:name="_Toc15377215"/>
      <w:bookmarkStart w:id="75" w:name="_Toc21513"/>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73"/>
      <w:bookmarkEnd w:id="74"/>
      <w:bookmarkEnd w:id="75"/>
    </w:p>
    <w:p>
      <w:pPr>
        <w:spacing w:line="600" w:lineRule="exact"/>
        <w:ind w:firstLine="640"/>
        <w:outlineLvl w:val="1"/>
        <w:rPr>
          <w:rFonts w:ascii="黑体" w:eastAsia="黑体"/>
          <w:color w:val="000000"/>
          <w:sz w:val="32"/>
          <w:szCs w:val="32"/>
        </w:rPr>
      </w:pPr>
      <w:bookmarkStart w:id="76" w:name="_Toc16859"/>
      <w:bookmarkStart w:id="77" w:name="_Toc25131"/>
      <w:bookmarkStart w:id="78" w:name="_Toc17154"/>
      <w:bookmarkStart w:id="79" w:name="_Toc26808"/>
      <w:bookmarkStart w:id="80" w:name="_Toc24453"/>
      <w:r>
        <w:rPr>
          <w:rFonts w:hint="eastAsia" w:ascii="仿宋" w:hAnsi="仿宋" w:eastAsia="仿宋"/>
          <w:color w:val="000000"/>
          <w:sz w:val="32"/>
          <w:szCs w:val="32"/>
        </w:rPr>
        <w:t>2019年“三公”经费财政决算共计0万元，主要原因是遂宁市中心医院属财政差额拨款单位，财政未对我单位“三公”经费进行预算拨款。</w:t>
      </w:r>
      <w:bookmarkEnd w:id="76"/>
      <w:bookmarkEnd w:id="77"/>
      <w:bookmarkEnd w:id="78"/>
      <w:bookmarkEnd w:id="79"/>
      <w:bookmarkEnd w:id="80"/>
    </w:p>
    <w:p>
      <w:pPr>
        <w:spacing w:line="600" w:lineRule="exact"/>
        <w:ind w:firstLine="640"/>
        <w:outlineLvl w:val="1"/>
        <w:rPr>
          <w:rStyle w:val="17"/>
          <w:rFonts w:ascii="黑体" w:hAnsi="黑体" w:eastAsia="黑体"/>
        </w:rPr>
      </w:pPr>
      <w:bookmarkStart w:id="81" w:name="_Toc10901"/>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8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19年政府性基金预算拨款支出0万元。</w:t>
      </w:r>
    </w:p>
    <w:p>
      <w:pPr>
        <w:spacing w:line="600" w:lineRule="exact"/>
        <w:ind w:firstLine="640" w:firstLineChars="200"/>
        <w:outlineLvl w:val="1"/>
        <w:rPr>
          <w:rStyle w:val="17"/>
          <w:rFonts w:ascii="黑体" w:hAnsi="黑体" w:eastAsia="黑体"/>
        </w:rPr>
      </w:pPr>
      <w:bookmarkStart w:id="82" w:name="_Toc7136"/>
      <w:bookmarkStart w:id="83" w:name="_Toc15396612"/>
      <w:bookmarkStart w:id="84" w:name="_Toc15377221"/>
      <w:r>
        <w:rPr>
          <w:rFonts w:hint="eastAsia" w:ascii="黑体" w:hAnsi="黑体" w:eastAsia="黑体"/>
          <w:color w:val="000000"/>
          <w:sz w:val="32"/>
          <w:szCs w:val="32"/>
        </w:rPr>
        <w:t>九</w:t>
      </w:r>
      <w:r>
        <w:rPr>
          <w:rStyle w:val="17"/>
          <w:rFonts w:hint="eastAsia" w:ascii="黑体" w:hAnsi="黑体" w:eastAsia="黑体"/>
        </w:rPr>
        <w:t>、</w:t>
      </w:r>
      <w:r>
        <w:rPr>
          <w:rStyle w:val="17"/>
          <w:rFonts w:hint="eastAsia" w:ascii="黑体" w:hAnsi="黑体" w:eastAsia="黑体"/>
          <w:b w:val="0"/>
        </w:rPr>
        <w:t>其他重要事项的情况说明</w:t>
      </w:r>
      <w:bookmarkEnd w:id="82"/>
      <w:bookmarkEnd w:id="83"/>
      <w:bookmarkEnd w:id="84"/>
    </w:p>
    <w:p>
      <w:pPr>
        <w:spacing w:line="600" w:lineRule="exact"/>
        <w:ind w:firstLine="642" w:firstLineChars="200"/>
        <w:outlineLvl w:val="2"/>
        <w:rPr>
          <w:rFonts w:ascii="仿宋" w:hAnsi="仿宋" w:eastAsia="仿宋"/>
          <w:b/>
          <w:color w:val="000000"/>
          <w:sz w:val="32"/>
          <w:szCs w:val="32"/>
        </w:rPr>
      </w:pPr>
      <w:bookmarkStart w:id="85" w:name="_Toc32709"/>
      <w:bookmarkStart w:id="86" w:name="_Toc15377222"/>
      <w:r>
        <w:rPr>
          <w:rFonts w:hint="eastAsia" w:ascii="仿宋" w:hAnsi="仿宋" w:eastAsia="仿宋"/>
          <w:b/>
          <w:color w:val="000000"/>
          <w:sz w:val="32"/>
          <w:szCs w:val="32"/>
        </w:rPr>
        <w:t>（一）机关运行经费支出情况</w:t>
      </w:r>
      <w:bookmarkEnd w:id="85"/>
      <w:bookmarkEnd w:id="86"/>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遂宁市中心医院无该项经费支出</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7" w:name="_Toc18213"/>
      <w:bookmarkStart w:id="88" w:name="_Toc15377224"/>
      <w:r>
        <w:rPr>
          <w:rFonts w:hint="eastAsia" w:ascii="仿宋" w:hAnsi="仿宋" w:eastAsia="仿宋"/>
          <w:b/>
          <w:color w:val="000000"/>
          <w:sz w:val="32"/>
          <w:szCs w:val="32"/>
        </w:rPr>
        <w:t>（二）国有资产占有使用情况</w:t>
      </w:r>
      <w:bookmarkEnd w:id="87"/>
      <w:bookmarkEnd w:id="8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19年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日，遂宁市中心医院共有车辆16辆，其中：特种专业技术用车12辆、其他用车4辆，其他用车主要是用于日常工作。单价</w:t>
      </w:r>
      <w:r>
        <w:rPr>
          <w:rFonts w:ascii="仿宋_GB2312" w:eastAsia="仿宋_GB2312"/>
          <w:color w:val="000000"/>
          <w:sz w:val="32"/>
          <w:szCs w:val="32"/>
        </w:rPr>
        <w:t>50</w:t>
      </w:r>
      <w:r>
        <w:rPr>
          <w:rFonts w:hint="eastAsia" w:ascii="仿宋_GB2312" w:eastAsia="仿宋_GB2312"/>
          <w:color w:val="000000"/>
          <w:sz w:val="32"/>
          <w:szCs w:val="32"/>
        </w:rPr>
        <w:t>万元以上通用设备38台，单价</w:t>
      </w:r>
      <w:r>
        <w:rPr>
          <w:rFonts w:ascii="仿宋_GB2312" w:eastAsia="仿宋_GB2312"/>
          <w:color w:val="000000"/>
          <w:sz w:val="32"/>
          <w:szCs w:val="32"/>
        </w:rPr>
        <w:t>100</w:t>
      </w:r>
      <w:r>
        <w:rPr>
          <w:rFonts w:hint="eastAsia" w:ascii="仿宋_GB2312" w:eastAsia="仿宋_GB2312"/>
          <w:color w:val="000000"/>
          <w:sz w:val="32"/>
          <w:szCs w:val="32"/>
        </w:rPr>
        <w:t>万元以上专用设备117台。</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9" w:name="_Toc3558"/>
      <w:r>
        <w:rPr>
          <w:rFonts w:hint="eastAsia" w:ascii="仿宋" w:hAnsi="仿宋" w:eastAsia="仿宋"/>
          <w:b/>
          <w:color w:val="000000"/>
          <w:sz w:val="32"/>
          <w:szCs w:val="32"/>
        </w:rPr>
        <w:t>（三）预算绩效管理情况</w:t>
      </w:r>
      <w:bookmarkEnd w:id="89"/>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19年部门整体支出绩效评价情况开展自评，《遂宁市中心医院</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19年部门整体支出绩效评价报告》见附件（附件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pStyle w:val="2"/>
      </w:pPr>
    </w:p>
    <w:p>
      <w:pPr>
        <w:pStyle w:val="2"/>
        <w:rPr>
          <w:rFonts w:hint="eastAsia"/>
          <w:b w:val="0"/>
          <w:bCs w:val="0"/>
          <w:kern w:val="2"/>
          <w:sz w:val="21"/>
          <w:szCs w:val="24"/>
        </w:rPr>
      </w:pPr>
    </w:p>
    <w:p/>
    <w:p>
      <w:pPr>
        <w:numPr>
          <w:ilvl w:val="0"/>
          <w:numId w:val="2"/>
        </w:numPr>
        <w:spacing w:line="600" w:lineRule="exact"/>
        <w:ind w:firstLine="660" w:firstLineChars="150"/>
        <w:jc w:val="center"/>
        <w:outlineLvl w:val="0"/>
        <w:rPr>
          <w:rStyle w:val="15"/>
          <w:rFonts w:ascii="黑体" w:hAnsi="黑体" w:eastAsia="黑体"/>
          <w:b w:val="0"/>
        </w:rPr>
      </w:pPr>
      <w:bookmarkStart w:id="90" w:name="_Toc18951"/>
      <w:bookmarkStart w:id="91" w:name="_Toc15396613"/>
      <w:bookmarkStart w:id="92" w:name="_Toc15377225"/>
      <w:r>
        <w:rPr>
          <w:rFonts w:hint="eastAsia" w:ascii="黑体" w:hAnsi="黑体" w:eastAsia="黑体"/>
          <w:color w:val="000000"/>
          <w:sz w:val="44"/>
          <w:szCs w:val="44"/>
        </w:rPr>
        <w:t>名</w:t>
      </w:r>
      <w:r>
        <w:rPr>
          <w:rStyle w:val="15"/>
          <w:rFonts w:hint="eastAsia" w:ascii="黑体" w:hAnsi="黑体" w:eastAsia="黑体"/>
          <w:b w:val="0"/>
        </w:rPr>
        <w:t>词解释</w:t>
      </w:r>
      <w:bookmarkEnd w:id="90"/>
      <w:bookmarkEnd w:id="91"/>
      <w:bookmarkEnd w:id="92"/>
    </w:p>
    <w:p>
      <w:pPr>
        <w:spacing w:line="600" w:lineRule="exact"/>
        <w:jc w:val="left"/>
        <w:rPr>
          <w:rFonts w:ascii="宋体"/>
          <w:b/>
          <w:color w:val="000000"/>
          <w:sz w:val="44"/>
          <w:szCs w:val="44"/>
        </w:rPr>
      </w:pPr>
    </w:p>
    <w:p>
      <w:pPr>
        <w:pStyle w:val="1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其他收入：指单位取得的除上述收入以外的各项收入。如新冠肺炎防控捐赠款等。</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1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科学技术（类）基础研究（款）专项基础科研（项）：指用于专项基础科研方面的支出。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10.科学技术（类）应用研究（款）社会公益研究（项）</w:t>
      </w:r>
      <w:r>
        <w:rPr>
          <w:rStyle w:val="13"/>
          <w:rFonts w:ascii="仿宋" w:hAnsi="仿宋" w:eastAsia="仿宋"/>
          <w:b w:val="0"/>
          <w:sz w:val="32"/>
          <w:szCs w:val="32"/>
        </w:rPr>
        <w:t xml:space="preserve">: </w:t>
      </w:r>
      <w:r>
        <w:rPr>
          <w:rStyle w:val="13"/>
          <w:rFonts w:hint="eastAsia" w:ascii="仿宋" w:hAnsi="仿宋" w:eastAsia="仿宋"/>
          <w:b w:val="0"/>
          <w:sz w:val="32"/>
          <w:szCs w:val="32"/>
        </w:rPr>
        <w:t>指反映从事卫生、劳动保护、计划生育、环境科学、农业等社会公益专项科研方面的支出。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11.科学技术（类）技术研究与开发（款）其他技术研究与开发支出（项）</w:t>
      </w:r>
      <w:r>
        <w:rPr>
          <w:rStyle w:val="13"/>
          <w:rFonts w:ascii="仿宋" w:hAnsi="仿宋" w:eastAsia="仿宋"/>
          <w:b w:val="0"/>
          <w:sz w:val="32"/>
          <w:szCs w:val="32"/>
        </w:rPr>
        <w:t>:</w:t>
      </w:r>
      <w:r>
        <w:rPr>
          <w:rStyle w:val="13"/>
          <w:rFonts w:hint="eastAsia" w:ascii="仿宋" w:hAnsi="仿宋" w:eastAsia="仿宋"/>
          <w:b w:val="0"/>
          <w:sz w:val="32"/>
          <w:szCs w:val="32"/>
        </w:rPr>
        <w:t>指其他用于技术研究与开发方面的支出。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12.科学技术（类）科技重大项目（款）科技重大专项（项）</w:t>
      </w:r>
      <w:r>
        <w:rPr>
          <w:rStyle w:val="13"/>
          <w:rFonts w:ascii="仿宋" w:hAnsi="仿宋" w:eastAsia="仿宋"/>
          <w:b w:val="0"/>
          <w:sz w:val="32"/>
          <w:szCs w:val="32"/>
        </w:rPr>
        <w:t xml:space="preserve">: </w:t>
      </w:r>
      <w:r>
        <w:rPr>
          <w:rStyle w:val="13"/>
          <w:rFonts w:hint="eastAsia" w:ascii="仿宋" w:hAnsi="仿宋" w:eastAsia="仿宋"/>
          <w:b w:val="0"/>
          <w:sz w:val="32"/>
          <w:szCs w:val="32"/>
        </w:rPr>
        <w:t>指用于科技重大专项的支出。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13.科学技术（类）科技重大项目（款）重点研发计划（项）</w:t>
      </w:r>
      <w:r>
        <w:rPr>
          <w:rStyle w:val="13"/>
          <w:rFonts w:ascii="仿宋" w:hAnsi="仿宋" w:eastAsia="仿宋"/>
          <w:b w:val="0"/>
          <w:sz w:val="32"/>
          <w:szCs w:val="32"/>
        </w:rPr>
        <w:t xml:space="preserve">: </w:t>
      </w:r>
      <w:r>
        <w:rPr>
          <w:rStyle w:val="13"/>
          <w:rFonts w:hint="eastAsia" w:ascii="仿宋" w:hAnsi="仿宋" w:eastAsia="仿宋"/>
          <w:b w:val="0"/>
          <w:sz w:val="32"/>
          <w:szCs w:val="32"/>
        </w:rPr>
        <w:t>指用于重点研发计划的有关经费支出。</w:t>
      </w:r>
    </w:p>
    <w:p>
      <w:pPr>
        <w:spacing w:line="600" w:lineRule="exact"/>
        <w:ind w:firstLine="640" w:firstLineChars="200"/>
        <w:rPr>
          <w:rFonts w:ascii="仿宋" w:hAnsi="仿宋" w:eastAsia="仿宋"/>
          <w:sz w:val="32"/>
          <w:szCs w:val="32"/>
        </w:rPr>
      </w:pPr>
      <w:r>
        <w:rPr>
          <w:rStyle w:val="13"/>
          <w:rFonts w:hint="eastAsia" w:ascii="仿宋" w:hAnsi="仿宋" w:eastAsia="仿宋"/>
          <w:b w:val="0"/>
          <w:sz w:val="32"/>
          <w:szCs w:val="32"/>
        </w:rPr>
        <w:t>14</w:t>
      </w:r>
      <w:r>
        <w:rPr>
          <w:rStyle w:val="13"/>
          <w:rFonts w:ascii="仿宋" w:hAnsi="仿宋" w:eastAsia="仿宋"/>
          <w:b w:val="0"/>
          <w:sz w:val="32"/>
          <w:szCs w:val="32"/>
        </w:rPr>
        <w:t>.</w:t>
      </w:r>
      <w:r>
        <w:rPr>
          <w:rStyle w:val="13"/>
          <w:rFonts w:hint="eastAsia" w:ascii="仿宋" w:hAnsi="仿宋" w:eastAsia="仿宋"/>
          <w:b w:val="0"/>
          <w:sz w:val="32"/>
          <w:szCs w:val="32"/>
        </w:rPr>
        <w:t>社会保障和就业支出（类）残疾人事业（款）残疾人康复（项）</w:t>
      </w:r>
      <w:r>
        <w:rPr>
          <w:rStyle w:val="13"/>
          <w:rFonts w:ascii="仿宋" w:hAnsi="仿宋" w:eastAsia="仿宋"/>
          <w:b w:val="0"/>
          <w:sz w:val="32"/>
          <w:szCs w:val="32"/>
        </w:rPr>
        <w:t>:</w:t>
      </w:r>
      <w:r>
        <w:rPr>
          <w:rStyle w:val="13"/>
          <w:rFonts w:hint="eastAsia" w:ascii="仿宋" w:hAnsi="仿宋" w:eastAsia="仿宋"/>
          <w:b w:val="0"/>
          <w:sz w:val="32"/>
          <w:szCs w:val="32"/>
        </w:rPr>
        <w:t>指残疾人联合会用于残疾人康复方面的支出。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15</w:t>
      </w:r>
      <w:r>
        <w:rPr>
          <w:rStyle w:val="13"/>
          <w:rFonts w:ascii="仿宋" w:hAnsi="仿宋" w:eastAsia="仿宋"/>
          <w:b w:val="0"/>
          <w:sz w:val="32"/>
          <w:szCs w:val="32"/>
        </w:rPr>
        <w:t>.</w:t>
      </w:r>
      <w:r>
        <w:rPr>
          <w:rFonts w:hint="eastAsia" w:ascii="仿宋" w:hAnsi="仿宋" w:eastAsia="仿宋"/>
          <w:sz w:val="32"/>
          <w:szCs w:val="32"/>
        </w:rPr>
        <w:t>卫生健康</w:t>
      </w:r>
      <w:r>
        <w:rPr>
          <w:rStyle w:val="13"/>
          <w:rFonts w:hint="eastAsia" w:ascii="仿宋" w:hAnsi="仿宋" w:eastAsia="仿宋"/>
          <w:b w:val="0"/>
          <w:sz w:val="32"/>
          <w:szCs w:val="32"/>
        </w:rPr>
        <w:t>支出（类）公立医院（款）综合医院（项）</w:t>
      </w:r>
      <w:r>
        <w:rPr>
          <w:rStyle w:val="13"/>
          <w:rFonts w:ascii="仿宋" w:hAnsi="仿宋" w:eastAsia="仿宋"/>
          <w:b w:val="0"/>
          <w:sz w:val="32"/>
          <w:szCs w:val="32"/>
        </w:rPr>
        <w:t>:</w:t>
      </w:r>
      <w:r>
        <w:rPr>
          <w:rStyle w:val="13"/>
          <w:rFonts w:hint="eastAsia" w:ascii="仿宋" w:hAnsi="仿宋" w:eastAsia="仿宋"/>
          <w:b w:val="0"/>
          <w:sz w:val="32"/>
          <w:szCs w:val="32"/>
        </w:rPr>
        <w:t>指卫生健康、中医部门所属的城市综合性医院、独立门诊、教学医院、疗养院和县医院的支出。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16</w:t>
      </w:r>
      <w:r>
        <w:rPr>
          <w:rStyle w:val="13"/>
          <w:rFonts w:ascii="仿宋" w:hAnsi="仿宋" w:eastAsia="仿宋"/>
          <w:b w:val="0"/>
          <w:sz w:val="32"/>
          <w:szCs w:val="32"/>
        </w:rPr>
        <w:t>.</w:t>
      </w:r>
      <w:r>
        <w:rPr>
          <w:rFonts w:hint="eastAsia" w:ascii="仿宋" w:hAnsi="仿宋" w:eastAsia="仿宋"/>
          <w:sz w:val="32"/>
          <w:szCs w:val="32"/>
        </w:rPr>
        <w:t>卫生健康</w:t>
      </w:r>
      <w:r>
        <w:rPr>
          <w:rStyle w:val="13"/>
          <w:rFonts w:hint="eastAsia" w:ascii="仿宋" w:hAnsi="仿宋" w:eastAsia="仿宋"/>
          <w:b w:val="0"/>
          <w:sz w:val="32"/>
          <w:szCs w:val="32"/>
        </w:rPr>
        <w:t>支出（类）公立医院（款）其他公立医院支出（项）</w:t>
      </w:r>
      <w:r>
        <w:rPr>
          <w:rStyle w:val="13"/>
          <w:rFonts w:ascii="仿宋" w:hAnsi="仿宋" w:eastAsia="仿宋"/>
          <w:b w:val="0"/>
          <w:sz w:val="32"/>
          <w:szCs w:val="32"/>
        </w:rPr>
        <w:t>:</w:t>
      </w:r>
      <w:r>
        <w:rPr>
          <w:rStyle w:val="13"/>
          <w:rFonts w:hint="eastAsia" w:ascii="仿宋" w:hAnsi="仿宋" w:eastAsia="仿宋"/>
          <w:b w:val="0"/>
          <w:sz w:val="32"/>
          <w:szCs w:val="32"/>
        </w:rPr>
        <w:t>指其他用于公立医院方面的支出。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17</w:t>
      </w:r>
      <w:r>
        <w:rPr>
          <w:rStyle w:val="13"/>
          <w:rFonts w:ascii="仿宋" w:hAnsi="仿宋" w:eastAsia="仿宋"/>
          <w:b w:val="0"/>
          <w:sz w:val="32"/>
          <w:szCs w:val="32"/>
        </w:rPr>
        <w:t>.</w:t>
      </w:r>
      <w:r>
        <w:rPr>
          <w:rFonts w:hint="eastAsia" w:ascii="仿宋" w:hAnsi="仿宋" w:eastAsia="仿宋"/>
          <w:sz w:val="32"/>
          <w:szCs w:val="32"/>
        </w:rPr>
        <w:t>卫生健康</w:t>
      </w:r>
      <w:r>
        <w:rPr>
          <w:rStyle w:val="13"/>
          <w:rFonts w:hint="eastAsia" w:ascii="仿宋" w:hAnsi="仿宋" w:eastAsia="仿宋"/>
          <w:b w:val="0"/>
          <w:sz w:val="32"/>
          <w:szCs w:val="32"/>
        </w:rPr>
        <w:t>支出（类）基层医疗卫生机构（款）其他基层医疗卫生机构支出（项）</w:t>
      </w:r>
      <w:r>
        <w:rPr>
          <w:rStyle w:val="13"/>
          <w:rFonts w:ascii="仿宋" w:hAnsi="仿宋" w:eastAsia="仿宋"/>
          <w:b w:val="0"/>
          <w:sz w:val="32"/>
          <w:szCs w:val="32"/>
        </w:rPr>
        <w:t>:</w:t>
      </w:r>
      <w:r>
        <w:rPr>
          <w:rStyle w:val="13"/>
          <w:rFonts w:hint="eastAsia" w:ascii="仿宋" w:hAnsi="仿宋" w:eastAsia="仿宋"/>
          <w:b w:val="0"/>
          <w:sz w:val="32"/>
          <w:szCs w:val="32"/>
        </w:rPr>
        <w:t>指其他用于基层医疗卫生机构的支出。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18</w:t>
      </w:r>
      <w:r>
        <w:rPr>
          <w:rStyle w:val="13"/>
          <w:rFonts w:ascii="仿宋" w:hAnsi="仿宋" w:eastAsia="仿宋"/>
          <w:b w:val="0"/>
          <w:sz w:val="32"/>
          <w:szCs w:val="32"/>
        </w:rPr>
        <w:t>.</w:t>
      </w:r>
      <w:r>
        <w:rPr>
          <w:rFonts w:hint="eastAsia" w:ascii="仿宋" w:hAnsi="仿宋" w:eastAsia="仿宋"/>
          <w:sz w:val="32"/>
          <w:szCs w:val="32"/>
        </w:rPr>
        <w:t>卫生健康</w:t>
      </w:r>
      <w:r>
        <w:rPr>
          <w:rStyle w:val="13"/>
          <w:rFonts w:hint="eastAsia" w:ascii="仿宋" w:hAnsi="仿宋" w:eastAsia="仿宋"/>
          <w:b w:val="0"/>
          <w:sz w:val="32"/>
          <w:szCs w:val="32"/>
        </w:rPr>
        <w:t>支出（类）公共卫生（款）基本公共卫生服务（项）</w:t>
      </w:r>
      <w:r>
        <w:rPr>
          <w:rStyle w:val="13"/>
          <w:rFonts w:ascii="仿宋" w:hAnsi="仿宋" w:eastAsia="仿宋"/>
          <w:b w:val="0"/>
          <w:sz w:val="32"/>
          <w:szCs w:val="32"/>
        </w:rPr>
        <w:t>:</w:t>
      </w:r>
      <w:r>
        <w:rPr>
          <w:rStyle w:val="13"/>
          <w:rFonts w:hint="eastAsia" w:ascii="仿宋" w:hAnsi="仿宋" w:eastAsia="仿宋"/>
          <w:b w:val="0"/>
          <w:sz w:val="32"/>
          <w:szCs w:val="32"/>
        </w:rPr>
        <w:t>指基本公共卫生服务支出。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19</w:t>
      </w:r>
      <w:r>
        <w:rPr>
          <w:rStyle w:val="13"/>
          <w:rFonts w:ascii="仿宋" w:hAnsi="仿宋" w:eastAsia="仿宋"/>
          <w:b w:val="0"/>
          <w:sz w:val="32"/>
          <w:szCs w:val="32"/>
        </w:rPr>
        <w:t>.</w:t>
      </w:r>
      <w:r>
        <w:rPr>
          <w:rFonts w:hint="eastAsia" w:ascii="仿宋" w:hAnsi="仿宋" w:eastAsia="仿宋"/>
          <w:sz w:val="32"/>
          <w:szCs w:val="32"/>
        </w:rPr>
        <w:t>卫生健康</w:t>
      </w:r>
      <w:r>
        <w:rPr>
          <w:rStyle w:val="13"/>
          <w:rFonts w:hint="eastAsia" w:ascii="仿宋" w:hAnsi="仿宋" w:eastAsia="仿宋"/>
          <w:b w:val="0"/>
          <w:sz w:val="32"/>
          <w:szCs w:val="32"/>
        </w:rPr>
        <w:t>支出（类）公共卫生（款）重大公共卫生服务（项）</w:t>
      </w:r>
      <w:r>
        <w:rPr>
          <w:rStyle w:val="13"/>
          <w:rFonts w:ascii="仿宋" w:hAnsi="仿宋" w:eastAsia="仿宋"/>
          <w:b w:val="0"/>
          <w:sz w:val="32"/>
          <w:szCs w:val="32"/>
        </w:rPr>
        <w:t>:</w:t>
      </w:r>
      <w:r>
        <w:rPr>
          <w:rStyle w:val="13"/>
          <w:rFonts w:hint="eastAsia" w:ascii="仿宋" w:hAnsi="仿宋" w:eastAsia="仿宋"/>
          <w:b w:val="0"/>
          <w:sz w:val="32"/>
          <w:szCs w:val="32"/>
        </w:rPr>
        <w:t>指重大疾病预防控制等重大公共卫生服务项目支出。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20</w:t>
      </w:r>
      <w:r>
        <w:rPr>
          <w:rStyle w:val="13"/>
          <w:rFonts w:ascii="仿宋" w:hAnsi="仿宋" w:eastAsia="仿宋"/>
          <w:b w:val="0"/>
          <w:sz w:val="32"/>
          <w:szCs w:val="32"/>
        </w:rPr>
        <w:t>.</w:t>
      </w:r>
      <w:r>
        <w:rPr>
          <w:rFonts w:hint="eastAsia" w:ascii="仿宋" w:hAnsi="仿宋" w:eastAsia="仿宋"/>
          <w:sz w:val="32"/>
          <w:szCs w:val="32"/>
        </w:rPr>
        <w:t>卫生健康</w:t>
      </w:r>
      <w:r>
        <w:rPr>
          <w:rStyle w:val="13"/>
          <w:rFonts w:hint="eastAsia" w:ascii="仿宋" w:hAnsi="仿宋" w:eastAsia="仿宋"/>
          <w:b w:val="0"/>
          <w:sz w:val="32"/>
          <w:szCs w:val="32"/>
        </w:rPr>
        <w:t>支出（类）计划生育事务（款）其他计划生育事务支出（项）</w:t>
      </w:r>
      <w:r>
        <w:rPr>
          <w:rStyle w:val="13"/>
          <w:rFonts w:ascii="仿宋" w:hAnsi="仿宋" w:eastAsia="仿宋"/>
          <w:b w:val="0"/>
          <w:sz w:val="32"/>
          <w:szCs w:val="32"/>
        </w:rPr>
        <w:t>:</w:t>
      </w:r>
      <w:r>
        <w:rPr>
          <w:rStyle w:val="13"/>
          <w:rFonts w:hint="eastAsia" w:ascii="仿宋" w:hAnsi="仿宋" w:eastAsia="仿宋"/>
          <w:b w:val="0"/>
          <w:sz w:val="32"/>
          <w:szCs w:val="32"/>
        </w:rPr>
        <w:t>指其他用于计划生育管理事务方面的支出。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21</w:t>
      </w:r>
      <w:r>
        <w:rPr>
          <w:rStyle w:val="13"/>
          <w:rFonts w:ascii="仿宋" w:hAnsi="仿宋" w:eastAsia="仿宋"/>
          <w:b w:val="0"/>
          <w:sz w:val="32"/>
          <w:szCs w:val="32"/>
        </w:rPr>
        <w:t>.</w:t>
      </w:r>
      <w:r>
        <w:rPr>
          <w:rFonts w:hint="eastAsia" w:ascii="仿宋" w:hAnsi="仿宋" w:eastAsia="仿宋"/>
          <w:sz w:val="32"/>
          <w:szCs w:val="32"/>
        </w:rPr>
        <w:t>卫生健康</w:t>
      </w:r>
      <w:r>
        <w:rPr>
          <w:rStyle w:val="13"/>
          <w:rFonts w:hint="eastAsia" w:ascii="仿宋" w:hAnsi="仿宋" w:eastAsia="仿宋"/>
          <w:b w:val="0"/>
          <w:sz w:val="32"/>
          <w:szCs w:val="32"/>
        </w:rPr>
        <w:t>支出（类）行政事业单位医疗（款）其他行政事业单位医疗支出（项）</w:t>
      </w:r>
      <w:r>
        <w:rPr>
          <w:rStyle w:val="13"/>
          <w:rFonts w:ascii="仿宋" w:hAnsi="仿宋" w:eastAsia="仿宋"/>
          <w:b w:val="0"/>
          <w:sz w:val="32"/>
          <w:szCs w:val="32"/>
        </w:rPr>
        <w:t>:</w:t>
      </w:r>
      <w:r>
        <w:rPr>
          <w:rStyle w:val="13"/>
          <w:rFonts w:hint="eastAsia" w:ascii="仿宋" w:hAnsi="仿宋" w:eastAsia="仿宋"/>
          <w:b w:val="0"/>
          <w:sz w:val="32"/>
          <w:szCs w:val="32"/>
        </w:rPr>
        <w:t>指其他用于行政事业单位医疗方面的支出。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22</w:t>
      </w:r>
      <w:r>
        <w:rPr>
          <w:rStyle w:val="13"/>
          <w:rFonts w:ascii="仿宋" w:hAnsi="仿宋" w:eastAsia="仿宋"/>
          <w:b w:val="0"/>
          <w:sz w:val="32"/>
          <w:szCs w:val="32"/>
        </w:rPr>
        <w:t>.</w:t>
      </w:r>
      <w:r>
        <w:rPr>
          <w:rFonts w:hint="eastAsia" w:ascii="仿宋" w:hAnsi="仿宋" w:eastAsia="仿宋"/>
          <w:sz w:val="32"/>
          <w:szCs w:val="32"/>
        </w:rPr>
        <w:t>卫生健康</w:t>
      </w:r>
      <w:r>
        <w:rPr>
          <w:rStyle w:val="13"/>
          <w:rFonts w:hint="eastAsia" w:ascii="仿宋" w:hAnsi="仿宋" w:eastAsia="仿宋"/>
          <w:b w:val="0"/>
          <w:sz w:val="32"/>
          <w:szCs w:val="32"/>
        </w:rPr>
        <w:t>支出（类）其他卫生健康支出（款）其他卫生健康支出（项）</w:t>
      </w:r>
      <w:r>
        <w:rPr>
          <w:rStyle w:val="13"/>
          <w:rFonts w:ascii="仿宋" w:hAnsi="仿宋" w:eastAsia="仿宋"/>
          <w:b w:val="0"/>
          <w:sz w:val="32"/>
          <w:szCs w:val="32"/>
        </w:rPr>
        <w:t>:</w:t>
      </w:r>
      <w:r>
        <w:rPr>
          <w:rStyle w:val="13"/>
          <w:rFonts w:hint="eastAsia" w:ascii="仿宋" w:hAnsi="仿宋" w:eastAsia="仿宋"/>
          <w:b w:val="0"/>
          <w:sz w:val="32"/>
          <w:szCs w:val="32"/>
        </w:rPr>
        <w:t>指其他用于卫生健康方面的支出。</w:t>
      </w:r>
    </w:p>
    <w:p>
      <w:pPr>
        <w:spacing w:line="600" w:lineRule="exact"/>
        <w:ind w:firstLine="640" w:firstLineChars="200"/>
        <w:rPr>
          <w:rStyle w:val="13"/>
          <w:rFonts w:ascii="仿宋" w:hAnsi="仿宋" w:eastAsia="仿宋"/>
          <w:b w:val="0"/>
          <w:sz w:val="32"/>
          <w:szCs w:val="32"/>
        </w:rPr>
      </w:pPr>
      <w:r>
        <w:rPr>
          <w:rStyle w:val="13"/>
          <w:rFonts w:hint="eastAsia" w:ascii="仿宋" w:hAnsi="仿宋" w:eastAsia="仿宋"/>
          <w:b w:val="0"/>
          <w:sz w:val="32"/>
          <w:szCs w:val="32"/>
        </w:rPr>
        <w:t>23.农</w:t>
      </w:r>
      <w:r>
        <w:rPr>
          <w:rFonts w:hint="eastAsia" w:ascii="仿宋" w:hAnsi="仿宋" w:eastAsia="仿宋"/>
          <w:sz w:val="32"/>
          <w:szCs w:val="32"/>
        </w:rPr>
        <w:t>林水扶贫支出（类）扶贫（款）其他扶贫支出（项）：指其他用于扶贫方面的支出。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w:t>
      </w:r>
      <w:r>
        <w:rPr>
          <w:rFonts w:hint="eastAsia" w:ascii="仿宋_GB2312" w:eastAsia="仿宋_GB2312"/>
          <w:sz w:val="32"/>
          <w:szCs w:val="32"/>
        </w:rPr>
        <w:t>政府采购支出：为开展日常业务活动，在财政的监督下，以法定的方式、方法和程序，通过公开招标、公平竞争的方式购买货物、工程和服务。</w:t>
      </w:r>
    </w:p>
    <w:p>
      <w:pPr>
        <w:rPr>
          <w:rFonts w:ascii="仿宋_GB2312" w:eastAsia="仿宋_GB2312"/>
          <w:color w:val="000000"/>
          <w:sz w:val="32"/>
          <w:szCs w:val="32"/>
        </w:rPr>
      </w:pPr>
    </w:p>
    <w:p>
      <w:pPr>
        <w:spacing w:line="600" w:lineRule="exact"/>
        <w:jc w:val="center"/>
        <w:outlineLvl w:val="0"/>
        <w:rPr>
          <w:rFonts w:ascii="黑体" w:hAnsi="黑体" w:eastAsia="黑体"/>
          <w:color w:val="000000"/>
          <w:sz w:val="44"/>
          <w:szCs w:val="44"/>
        </w:rPr>
      </w:pPr>
      <w:bookmarkStart w:id="93" w:name="_Toc15396614"/>
      <w:bookmarkStart w:id="94" w:name="_Toc5092"/>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ascii="黑体" w:hAnsi="黑体" w:eastAsia="黑体" w:cs="黑体"/>
          <w:sz w:val="32"/>
          <w:szCs w:val="32"/>
        </w:rPr>
      </w:pPr>
      <w:r>
        <w:rPr>
          <w:rFonts w:hint="eastAsia" w:ascii="黑体" w:hAnsi="黑体" w:eastAsia="黑体"/>
          <w:color w:val="000000"/>
          <w:sz w:val="44"/>
          <w:szCs w:val="44"/>
        </w:rPr>
        <w:t>第</w:t>
      </w:r>
      <w:r>
        <w:rPr>
          <w:rStyle w:val="15"/>
          <w:rFonts w:hint="eastAsia" w:ascii="黑体" w:hAnsi="黑体" w:eastAsia="黑体"/>
          <w:b w:val="0"/>
        </w:rPr>
        <w:t>四部分附件</w:t>
      </w:r>
      <w:bookmarkEnd w:id="93"/>
      <w:bookmarkEnd w:id="94"/>
      <w:bookmarkStart w:id="95" w:name="_Toc7148"/>
    </w:p>
    <w:p>
      <w:pPr>
        <w:spacing w:line="600" w:lineRule="exact"/>
        <w:jc w:val="left"/>
        <w:outlineLvl w:val="0"/>
        <w:rPr>
          <w:rFonts w:ascii="黑体" w:hAnsi="黑体" w:eastAsia="黑体" w:cs="黑体"/>
          <w:sz w:val="32"/>
          <w:szCs w:val="32"/>
        </w:rPr>
      </w:pPr>
      <w:bookmarkStart w:id="96" w:name="_Toc5544"/>
      <w:bookmarkStart w:id="97" w:name="_Toc10738"/>
      <w:bookmarkStart w:id="98" w:name="_Toc27964"/>
    </w:p>
    <w:p>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r>
        <w:rPr>
          <w:rFonts w:ascii="黑体" w:hAnsi="黑体" w:eastAsia="黑体" w:cs="黑体"/>
          <w:sz w:val="32"/>
          <w:szCs w:val="32"/>
        </w:rPr>
        <w:t>1</w:t>
      </w:r>
      <w:bookmarkEnd w:id="95"/>
      <w:bookmarkEnd w:id="96"/>
      <w:bookmarkEnd w:id="97"/>
      <w:bookmarkEnd w:id="98"/>
    </w:p>
    <w:p>
      <w:pPr>
        <w:spacing w:line="600" w:lineRule="exact"/>
        <w:jc w:val="center"/>
        <w:rPr>
          <w:rFonts w:ascii="黑体" w:hAnsi="宋体" w:eastAsia="黑体" w:cs="宋体"/>
          <w:color w:val="000000"/>
          <w:kern w:val="0"/>
          <w:sz w:val="24"/>
          <w:szCs w:val="32"/>
          <w:shd w:val="clear" w:color="auto" w:fill="FFFFFF"/>
        </w:rPr>
      </w:pPr>
      <w:r>
        <w:rPr>
          <w:rFonts w:hint="eastAsia" w:ascii="方正小标宋简体" w:hAnsi="宋体" w:eastAsia="方正小标宋简体"/>
          <w:color w:val="000000"/>
          <w:kern w:val="0"/>
          <w:sz w:val="40"/>
          <w:szCs w:val="44"/>
        </w:rPr>
        <w:t>遂宁市中心医院</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ind w:firstLine="642" w:firstLineChars="200"/>
        <w:rPr>
          <w:rFonts w:ascii="仿宋_GB2312" w:eastAsia="仿宋_GB2312"/>
          <w:b/>
          <w:bCs/>
          <w:color w:val="000000"/>
          <w:sz w:val="32"/>
          <w:szCs w:val="32"/>
          <w:lang w:val="zh-CN"/>
        </w:rPr>
      </w:pPr>
      <w:r>
        <w:rPr>
          <w:rFonts w:hint="eastAsia" w:ascii="仿宋_GB2312" w:eastAsia="仿宋_GB2312"/>
          <w:b/>
          <w:bCs/>
          <w:color w:val="000000"/>
          <w:sz w:val="32"/>
          <w:szCs w:val="32"/>
          <w:lang w:val="zh-CN"/>
        </w:rPr>
        <w:t>（一）机构组成以及机构职能概况</w:t>
      </w:r>
    </w:p>
    <w:p>
      <w:pPr>
        <w:pStyle w:val="5"/>
        <w:adjustRightInd w:val="0"/>
        <w:snapToGrid w:val="0"/>
        <w:spacing w:before="93" w:line="600" w:lineRule="exact"/>
        <w:ind w:firstLine="672" w:firstLineChars="210"/>
        <w:outlineLvl w:val="2"/>
        <w:rPr>
          <w:rFonts w:hAnsi="黑体"/>
          <w:sz w:val="32"/>
          <w:szCs w:val="32"/>
        </w:rPr>
      </w:pPr>
      <w:bookmarkStart w:id="99" w:name="_Toc26457"/>
      <w:r>
        <w:rPr>
          <w:rFonts w:hint="eastAsia"/>
          <w:color w:val="000000"/>
          <w:kern w:val="2"/>
          <w:sz w:val="32"/>
          <w:szCs w:val="32"/>
        </w:rPr>
        <w:t>遂宁市中心医院是一所集医疗、教学、科研、预防、保健为一体的国家三级甲等综合医院。医院现承担了省内外十余家医学院校的临床教学任务，是川北医学院、重庆医科大学非直管附属医院，是重庆医科大学、川北医学院附属医院、成都中医药大学遂宁临床学院和遵义医科大学研究生联合培养基地，国家第一批住院医师规范化培训基地、四川省专科医师规范化培训基地、四川省全科医生转岗培训基地，是西班牙特拉萨大学医院、法国昂热医教中心、加拿大七橡树综合医院国际友好合作医院，</w:t>
      </w:r>
      <w:bookmarkEnd w:id="99"/>
      <w:r>
        <w:rPr>
          <w:rFonts w:hint="eastAsia" w:hAnsi="黑体"/>
          <w:sz w:val="32"/>
          <w:szCs w:val="32"/>
        </w:rPr>
        <w:t>连续七年进入全国地级城市医院100强。</w:t>
      </w:r>
    </w:p>
    <w:p>
      <w:pPr>
        <w:widowControl/>
        <w:numPr>
          <w:ilvl w:val="0"/>
          <w:numId w:val="3"/>
        </w:numPr>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人员概况</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zh-CN"/>
        </w:rPr>
        <w:t>我单位现有在职人员</w:t>
      </w:r>
      <w:r>
        <w:rPr>
          <w:rFonts w:hint="eastAsia" w:ascii="仿宋_GB2312" w:eastAsia="仿宋_GB2312"/>
          <w:color w:val="000000"/>
          <w:sz w:val="32"/>
          <w:szCs w:val="32"/>
        </w:rPr>
        <w:t>2515人，其中在编人员有1081人，编外长期聘用人员1434人。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二、部门资金收支情况</w:t>
      </w:r>
    </w:p>
    <w:p>
      <w:pPr>
        <w:widowControl/>
        <w:adjustRightInd w:val="0"/>
        <w:snapToGrid w:val="0"/>
        <w:spacing w:line="580" w:lineRule="exact"/>
        <w:ind w:firstLine="642" w:firstLineChars="200"/>
        <w:contextualSpacing/>
        <w:jc w:val="left"/>
        <w:rPr>
          <w:rFonts w:ascii="仿宋_GB2312" w:hAnsi="宋体" w:eastAsia="仿宋_GB2312" w:cs="宋体"/>
          <w:b/>
          <w:bCs/>
          <w:color w:val="000000"/>
          <w:kern w:val="0"/>
          <w:sz w:val="32"/>
          <w:szCs w:val="32"/>
          <w:lang w:val="zh-CN"/>
        </w:rPr>
      </w:pPr>
      <w:r>
        <w:rPr>
          <w:rFonts w:hint="eastAsia" w:ascii="仿宋_GB2312" w:hAnsi="宋体" w:eastAsia="仿宋_GB2312" w:cs="宋体"/>
          <w:b/>
          <w:bCs/>
          <w:color w:val="000000"/>
          <w:kern w:val="0"/>
          <w:sz w:val="32"/>
          <w:szCs w:val="32"/>
          <w:lang w:val="zh-CN"/>
        </w:rPr>
        <w:t>（一）部门资金收入情况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ascii="仿宋" w:hAnsi="仿宋" w:eastAsia="仿宋"/>
          <w:color w:val="000000"/>
          <w:sz w:val="32"/>
          <w:szCs w:val="32"/>
        </w:rPr>
        <w:t>20</w:t>
      </w:r>
      <w:r>
        <w:rPr>
          <w:rFonts w:hint="eastAsia" w:ascii="仿宋" w:hAnsi="仿宋" w:eastAsia="仿宋"/>
          <w:color w:val="000000"/>
          <w:sz w:val="32"/>
          <w:szCs w:val="32"/>
        </w:rPr>
        <w:t>19年</w:t>
      </w:r>
      <w:r>
        <w:rPr>
          <w:rFonts w:hint="eastAsia" w:ascii="仿宋_GB2312" w:hAnsi="宋体" w:eastAsia="仿宋_GB2312" w:cs="宋体"/>
          <w:color w:val="000000"/>
          <w:kern w:val="0"/>
          <w:sz w:val="32"/>
          <w:szCs w:val="32"/>
          <w:shd w:val="clear" w:color="auto" w:fill="FFFFFF"/>
          <w:lang w:val="zh-CN"/>
        </w:rPr>
        <w:t>部门预算收入</w:t>
      </w:r>
      <w:r>
        <w:rPr>
          <w:rFonts w:hint="eastAsia" w:ascii="仿宋_GB2312" w:hAnsi="宋体" w:eastAsia="仿宋_GB2312" w:cs="宋体"/>
          <w:color w:val="000000"/>
          <w:kern w:val="0"/>
          <w:sz w:val="32"/>
          <w:szCs w:val="32"/>
          <w:shd w:val="clear" w:color="auto" w:fill="FFFFFF"/>
        </w:rPr>
        <w:t>210840.80万元；其中一般公共预算收入477.43万元，事业单位经营预算收入210363.37万元。</w:t>
      </w:r>
    </w:p>
    <w:p>
      <w:pPr>
        <w:widowControl/>
        <w:adjustRightInd w:val="0"/>
        <w:snapToGrid w:val="0"/>
        <w:spacing w:line="580" w:lineRule="exact"/>
        <w:ind w:firstLine="642"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（二）部门资金支出情况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2019年部门预算支出210840.80万元；其中一般公共预算支出477.43万元；基本支出178026.19万元；项目支出32337.18万元；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2019年，我单位通过加强预算收支管理，不断建立健全内部管理制度，理顺内部管理流程，部门整体支出管理情况得等了提升。为加强国有资产管理，提高资金使用效益，在财务管理和厉行节约方面开展了大量的工作，行政效能显著。</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1.在原有相对健全的财务管理制度基础上，适时地、针对性的进行相关制度的增补。</w:t>
      </w:r>
    </w:p>
    <w:p>
      <w:pPr>
        <w:spacing w:line="560" w:lineRule="exact"/>
        <w:ind w:firstLine="640" w:firstLineChars="200"/>
        <w:rPr>
          <w:rFonts w:ascii="仿宋_GB2312" w:eastAsia="仿宋_GB2312"/>
          <w:b/>
          <w:color w:val="000000"/>
          <w:sz w:val="32"/>
          <w:szCs w:val="30"/>
        </w:rPr>
      </w:pPr>
      <w:r>
        <w:rPr>
          <w:rFonts w:hint="eastAsia" w:ascii="仿宋_GB2312" w:hAnsi="宋体" w:eastAsia="仿宋_GB2312" w:cs="宋体"/>
          <w:color w:val="000000"/>
          <w:kern w:val="0"/>
          <w:sz w:val="32"/>
          <w:szCs w:val="32"/>
          <w:shd w:val="clear" w:color="auto" w:fill="FFFFFF"/>
        </w:rPr>
        <w:t>2. 强化医疗质量管理，确保医疗安全</w:t>
      </w:r>
      <w:r>
        <w:rPr>
          <w:rFonts w:hint="eastAsia" w:ascii="仿宋_GB2312" w:eastAsia="仿宋_GB2312"/>
          <w:b/>
          <w:color w:val="000000"/>
          <w:sz w:val="32"/>
          <w:szCs w:val="30"/>
        </w:rPr>
        <w:t>。</w:t>
      </w:r>
      <w:r>
        <w:rPr>
          <w:rFonts w:hint="eastAsia" w:ascii="仿宋_GB2312" w:hAnsi="黑体" w:eastAsia="仿宋_GB2312"/>
          <w:sz w:val="32"/>
          <w:szCs w:val="32"/>
        </w:rPr>
        <w:t>严格执行医疗核心制度，规范病历书写和电子病历的临床应用，提高病历质量。定期开展质量追踪，基于医疗三医监管数据、病例首页数据、DRGs数据分析对医疗质量问题进行追踪管理，确保医疗质量与安全。加强合理用药督查，目前医院综合药占比仅为21.9%，在省内同级医院中处于优秀管理水平。加强医院感染质量监控，今年5月</w:t>
      </w:r>
      <w:r>
        <w:rPr>
          <w:rFonts w:hint="eastAsia" w:ascii="仿宋_GB2312" w:hAnsi="黑体" w:eastAsia="仿宋_GB2312"/>
          <w:color w:val="000000"/>
          <w:sz w:val="32"/>
          <w:szCs w:val="32"/>
        </w:rPr>
        <w:t>医院被评为“感控实践优秀基层医院”</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3、加强学科建设，提升综合服务能力。目前医院有省级重点学科4个、重点专科15个。胸痛中心、卒中中心建设成效明显，海扶中心持续领跑，累计治疗量突破8000例。积极开展预约诊疗，已经实现电话、微信、手机APP和自助预约机等多种方式的预约诊疗服务，门诊患者预约诊疗率已经达54.49%。今年8月，互联网医院上线运行（为四川省第二家）。日间手术工作推进顺利，2019年开展日间手术7370例。我单位医疗机构服务能力、服务质量增强，能够更</w:t>
      </w:r>
      <w:r>
        <w:rPr>
          <w:rFonts w:hint="eastAsia" w:ascii="仿宋_GB2312" w:hAnsi="宋体" w:eastAsia="仿宋_GB2312" w:cs="宋体"/>
          <w:color w:val="000000"/>
          <w:kern w:val="0"/>
          <w:sz w:val="32"/>
          <w:szCs w:val="32"/>
          <w:shd w:val="clear" w:color="auto" w:fill="FFFFFF"/>
          <w:lang w:eastAsia="zh-CN"/>
        </w:rPr>
        <w:t>地</w:t>
      </w:r>
      <w:bookmarkStart w:id="142" w:name="_GoBack"/>
      <w:bookmarkEnd w:id="142"/>
      <w:r>
        <w:rPr>
          <w:rFonts w:hint="eastAsia" w:ascii="仿宋_GB2312" w:hAnsi="宋体" w:eastAsia="仿宋_GB2312" w:cs="宋体"/>
          <w:color w:val="000000"/>
          <w:kern w:val="0"/>
          <w:sz w:val="32"/>
          <w:szCs w:val="32"/>
          <w:shd w:val="clear" w:color="auto" w:fill="FFFFFF"/>
        </w:rPr>
        <w:t>的满足广大人民群众日益增长的健康需求，充分发挥我单位在诊疗中的优势和作用，群众反映良好，医院形象进一步提升，医院的经济效益和社会效益都明显提高。</w:t>
      </w:r>
    </w:p>
    <w:p>
      <w:pPr>
        <w:widowControl/>
        <w:numPr>
          <w:ilvl w:val="0"/>
          <w:numId w:val="1"/>
        </w:numPr>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1.细化预算编制工作，认真做好预算的编制。严格按照预算编制的相关制度和要求，进行预算编制；进一步提高预算编制的科学性、合理性、严谨性和可控性。</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2.在日常预算管理过程中，进一步加强预算支出的审核、跟踪及预算执行情况分析。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3.对相关人员加强培训，特别是针对《预算法》、《行政事业单位会计制度》等规范部门预算收支审核，提高预算收支管理水平。</w:t>
      </w:r>
    </w:p>
    <w:p>
      <w:pPr>
        <w:ind w:firstLine="640" w:firstLineChars="200"/>
        <w:rPr>
          <w:rFonts w:ascii="仿宋" w:hAnsi="仿宋" w:eastAsia="仿宋"/>
          <w:color w:val="000000"/>
          <w:sz w:val="32"/>
          <w:szCs w:val="32"/>
        </w:rPr>
      </w:pPr>
    </w:p>
    <w:p>
      <w:pPr>
        <w:ind w:firstLine="640" w:firstLineChars="200"/>
        <w:rPr>
          <w:rFonts w:ascii="仿宋" w:hAnsi="仿宋" w:eastAsia="仿宋"/>
          <w:color w:val="000000"/>
          <w:sz w:val="32"/>
          <w:szCs w:val="32"/>
        </w:rPr>
        <w:sectPr>
          <w:footerReference r:id="rId3" w:type="default"/>
          <w:pgSz w:w="11906" w:h="16838"/>
          <w:pgMar w:top="1440" w:right="1800" w:bottom="1440" w:left="1800" w:header="851" w:footer="992" w:gutter="0"/>
          <w:pgNumType w:start="2"/>
          <w:cols w:space="425" w:num="1"/>
          <w:docGrid w:type="lines" w:linePitch="312" w:charSpace="0"/>
        </w:sectPr>
      </w:pPr>
    </w:p>
    <w:p>
      <w:pPr>
        <w:spacing w:line="600" w:lineRule="exact"/>
        <w:ind w:left="315" w:leftChars="150"/>
        <w:jc w:val="center"/>
        <w:outlineLvl w:val="0"/>
        <w:rPr>
          <w:rFonts w:ascii="仿宋" w:hAnsi="仿宋" w:eastAsia="仿宋"/>
          <w:b/>
          <w:color w:val="000000"/>
        </w:rPr>
      </w:pPr>
      <w:bookmarkStart w:id="100" w:name="_Toc15396618"/>
      <w:bookmarkStart w:id="101" w:name="_Toc9664"/>
      <w:r>
        <w:rPr>
          <w:rStyle w:val="15"/>
          <w:rFonts w:hint="eastAsia" w:ascii="黑体" w:hAnsi="黑体" w:eastAsia="黑体"/>
          <w:b w:val="0"/>
        </w:rPr>
        <w:t>第五部分 附表</w:t>
      </w:r>
      <w:bookmarkEnd w:id="100"/>
      <w:bookmarkEnd w:id="101"/>
      <w:bookmarkStart w:id="102" w:name="_Toc15396619"/>
    </w:p>
    <w:bookmarkEnd w:id="102"/>
    <w:p>
      <w:pPr>
        <w:pStyle w:val="3"/>
        <w:rPr>
          <w:rFonts w:ascii="仿宋" w:hAnsi="仿宋" w:eastAsia="仿宋"/>
          <w:color w:val="000000"/>
        </w:rPr>
      </w:pPr>
      <w:bookmarkStart w:id="103" w:name="_Toc26306"/>
      <w:bookmarkStart w:id="104" w:name="_Toc29881"/>
      <w:r>
        <w:rPr>
          <w:rFonts w:hint="eastAsia" w:ascii="仿宋" w:hAnsi="仿宋" w:eastAsia="仿宋"/>
          <w:b w:val="0"/>
          <w:color w:val="000000"/>
        </w:rPr>
        <w:t>一、收</w:t>
      </w:r>
      <w:r>
        <w:rPr>
          <w:rStyle w:val="28"/>
          <w:rFonts w:hint="eastAsia" w:ascii="仿宋" w:hAnsi="仿宋" w:eastAsia="仿宋"/>
          <w:b w:val="0"/>
          <w:bCs w:val="0"/>
        </w:rPr>
        <w:t>入支出决算总表</w:t>
      </w:r>
      <w:bookmarkEnd w:id="103"/>
      <w:bookmarkEnd w:id="104"/>
    </w:p>
    <w:p>
      <w:pPr>
        <w:pStyle w:val="3"/>
        <w:rPr>
          <w:rFonts w:ascii="仿宋" w:hAnsi="仿宋" w:eastAsia="仿宋"/>
          <w:color w:val="000000"/>
        </w:rPr>
      </w:pPr>
      <w:bookmarkStart w:id="105" w:name="_Toc26569"/>
      <w:bookmarkStart w:id="106" w:name="_Toc846"/>
      <w:bookmarkStart w:id="107"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105"/>
      <w:bookmarkEnd w:id="106"/>
      <w:bookmarkEnd w:id="107"/>
    </w:p>
    <w:p>
      <w:pPr>
        <w:pStyle w:val="3"/>
        <w:rPr>
          <w:rFonts w:ascii="仿宋" w:hAnsi="仿宋" w:eastAsia="仿宋"/>
          <w:color w:val="000000"/>
        </w:rPr>
      </w:pPr>
      <w:bookmarkStart w:id="108" w:name="_Toc11901"/>
      <w:bookmarkStart w:id="109" w:name="_Toc15221"/>
      <w:bookmarkStart w:id="110"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08"/>
      <w:bookmarkEnd w:id="109"/>
      <w:bookmarkEnd w:id="110"/>
    </w:p>
    <w:p>
      <w:pPr>
        <w:pStyle w:val="3"/>
        <w:rPr>
          <w:rFonts w:ascii="仿宋" w:hAnsi="仿宋" w:eastAsia="仿宋"/>
          <w:b w:val="0"/>
          <w:color w:val="000000"/>
        </w:rPr>
      </w:pPr>
      <w:bookmarkStart w:id="111" w:name="_Toc15396622"/>
      <w:bookmarkStart w:id="112" w:name="_Toc9852"/>
      <w:bookmarkStart w:id="113" w:name="_Toc31541"/>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11"/>
      <w:bookmarkEnd w:id="112"/>
      <w:bookmarkEnd w:id="113"/>
    </w:p>
    <w:p>
      <w:pPr>
        <w:pStyle w:val="3"/>
        <w:rPr>
          <w:rStyle w:val="28"/>
          <w:rFonts w:ascii="仿宋" w:hAnsi="仿宋" w:eastAsia="仿宋"/>
          <w:b w:val="0"/>
          <w:bCs w:val="0"/>
        </w:rPr>
      </w:pPr>
      <w:bookmarkStart w:id="114" w:name="_Toc11614"/>
      <w:bookmarkStart w:id="115" w:name="_Toc30725"/>
      <w:bookmarkStart w:id="116"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14"/>
      <w:bookmarkEnd w:id="115"/>
      <w:bookmarkEnd w:id="116"/>
      <w:bookmarkStart w:id="117" w:name="_Toc15396624"/>
    </w:p>
    <w:p>
      <w:pPr>
        <w:pStyle w:val="3"/>
        <w:rPr>
          <w:rFonts w:ascii="仿宋" w:hAnsi="仿宋" w:eastAsia="仿宋"/>
          <w:color w:val="000000"/>
        </w:rPr>
      </w:pPr>
      <w:bookmarkStart w:id="118" w:name="_Toc18525"/>
      <w:bookmarkStart w:id="119" w:name="_Toc31109"/>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17"/>
      <w:bookmarkEnd w:id="118"/>
      <w:bookmarkEnd w:id="119"/>
    </w:p>
    <w:p>
      <w:pPr>
        <w:pStyle w:val="3"/>
        <w:rPr>
          <w:rFonts w:ascii="仿宋" w:hAnsi="仿宋" w:eastAsia="仿宋"/>
          <w:color w:val="000000"/>
        </w:rPr>
      </w:pPr>
      <w:bookmarkStart w:id="120" w:name="_Toc2202"/>
      <w:bookmarkStart w:id="121" w:name="_Toc29678"/>
      <w:bookmarkStart w:id="122"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20"/>
      <w:bookmarkEnd w:id="121"/>
      <w:bookmarkEnd w:id="122"/>
    </w:p>
    <w:p>
      <w:pPr>
        <w:pStyle w:val="3"/>
        <w:rPr>
          <w:rFonts w:ascii="仿宋" w:hAnsi="仿宋" w:eastAsia="仿宋"/>
          <w:color w:val="000000"/>
        </w:rPr>
      </w:pPr>
      <w:bookmarkStart w:id="123" w:name="_Toc2208"/>
      <w:bookmarkStart w:id="124" w:name="_Toc32493"/>
      <w:bookmarkStart w:id="125"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23"/>
      <w:bookmarkEnd w:id="124"/>
      <w:bookmarkEnd w:id="125"/>
    </w:p>
    <w:p>
      <w:pPr>
        <w:pStyle w:val="3"/>
        <w:rPr>
          <w:rFonts w:ascii="仿宋" w:hAnsi="仿宋" w:eastAsia="仿宋"/>
          <w:color w:val="000000"/>
        </w:rPr>
      </w:pPr>
      <w:bookmarkStart w:id="126" w:name="_Toc30380"/>
      <w:bookmarkStart w:id="127" w:name="_Toc31951"/>
      <w:bookmarkStart w:id="128"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26"/>
      <w:bookmarkEnd w:id="127"/>
      <w:bookmarkEnd w:id="128"/>
    </w:p>
    <w:p>
      <w:pPr>
        <w:pStyle w:val="3"/>
        <w:rPr>
          <w:rFonts w:ascii="仿宋" w:hAnsi="仿宋" w:eastAsia="仿宋"/>
          <w:color w:val="000000"/>
        </w:rPr>
      </w:pPr>
      <w:bookmarkStart w:id="129" w:name="_Toc28407"/>
      <w:bookmarkStart w:id="130" w:name="_Toc24607"/>
      <w:bookmarkStart w:id="131"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29"/>
      <w:bookmarkEnd w:id="130"/>
      <w:bookmarkEnd w:id="131"/>
    </w:p>
    <w:p>
      <w:pPr>
        <w:pStyle w:val="3"/>
        <w:rPr>
          <w:rFonts w:ascii="仿宋" w:hAnsi="仿宋" w:eastAsia="仿宋"/>
          <w:color w:val="000000"/>
        </w:rPr>
      </w:pPr>
      <w:bookmarkStart w:id="132" w:name="_Toc15396629"/>
      <w:bookmarkStart w:id="133" w:name="_Toc12933"/>
      <w:bookmarkStart w:id="134" w:name="_Toc22640"/>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32"/>
      <w:bookmarkEnd w:id="133"/>
      <w:bookmarkEnd w:id="134"/>
    </w:p>
    <w:p>
      <w:pPr>
        <w:pStyle w:val="3"/>
        <w:rPr>
          <w:rFonts w:ascii="仿宋" w:hAnsi="仿宋" w:eastAsia="仿宋"/>
          <w:color w:val="000000"/>
        </w:rPr>
      </w:pPr>
      <w:bookmarkStart w:id="135" w:name="_Toc4648"/>
      <w:bookmarkStart w:id="136" w:name="_Toc21122"/>
      <w:bookmarkStart w:id="137"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35"/>
      <w:bookmarkEnd w:id="136"/>
      <w:bookmarkEnd w:id="137"/>
    </w:p>
    <w:p>
      <w:pPr>
        <w:pStyle w:val="3"/>
        <w:rPr>
          <w:rStyle w:val="28"/>
          <w:rFonts w:ascii="仿宋" w:hAnsi="仿宋" w:eastAsia="仿宋"/>
          <w:b w:val="0"/>
          <w:bCs w:val="0"/>
        </w:rPr>
      </w:pPr>
      <w:bookmarkStart w:id="138" w:name="_Toc15396631"/>
      <w:bookmarkStart w:id="139" w:name="_Toc31494"/>
      <w:bookmarkStart w:id="140" w:name="_Toc18539"/>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有资本经营预算财政拨款收入支出决算表</w:t>
      </w:r>
      <w:bookmarkEnd w:id="138"/>
      <w:bookmarkEnd w:id="139"/>
      <w:bookmarkEnd w:id="140"/>
    </w:p>
    <w:p>
      <w:pPr>
        <w:pStyle w:val="3"/>
        <w:rPr>
          <w:rStyle w:val="28"/>
          <w:rFonts w:ascii="仿宋" w:hAnsi="仿宋" w:eastAsia="仿宋"/>
          <w:b w:val="0"/>
          <w:bCs w:val="0"/>
        </w:rPr>
      </w:pPr>
      <w:bookmarkStart w:id="141" w:name="_Toc21771"/>
      <w:r>
        <w:rPr>
          <w:rStyle w:val="28"/>
          <w:rFonts w:hint="eastAsia" w:ascii="仿宋" w:hAnsi="仿宋" w:eastAsia="仿宋"/>
          <w:b w:val="0"/>
          <w:bCs w:val="0"/>
        </w:rPr>
        <w:t>十四、</w:t>
      </w:r>
      <w:r>
        <w:rPr>
          <w:rFonts w:hint="eastAsia" w:ascii="仿宋" w:hAnsi="仿宋" w:eastAsia="仿宋"/>
          <w:b w:val="0"/>
          <w:color w:val="000000"/>
        </w:rPr>
        <w:t>国</w:t>
      </w:r>
      <w:r>
        <w:rPr>
          <w:rStyle w:val="28"/>
          <w:rFonts w:hint="eastAsia" w:ascii="仿宋" w:hAnsi="仿宋" w:eastAsia="仿宋"/>
          <w:b w:val="0"/>
          <w:bCs w:val="0"/>
        </w:rPr>
        <w:t>有资本经营预算财政拨款支出决算表</w:t>
      </w:r>
      <w:bookmarkEnd w:id="141"/>
    </w:p>
    <w:p>
      <w:pPr>
        <w:rPr>
          <w:rFonts w:ascii="仿宋" w:hAnsi="仿宋" w:eastAsia="仿宋"/>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E6C4D"/>
    <w:multiLevelType w:val="singleLevel"/>
    <w:tmpl w:val="C55E6C4D"/>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38F3986"/>
    <w:rsid w:val="00057950"/>
    <w:rsid w:val="00057C90"/>
    <w:rsid w:val="000A79F7"/>
    <w:rsid w:val="002378C9"/>
    <w:rsid w:val="00342ABF"/>
    <w:rsid w:val="003D6256"/>
    <w:rsid w:val="004B234D"/>
    <w:rsid w:val="004D4F69"/>
    <w:rsid w:val="0051408C"/>
    <w:rsid w:val="00640585"/>
    <w:rsid w:val="006704F6"/>
    <w:rsid w:val="00685643"/>
    <w:rsid w:val="006B2885"/>
    <w:rsid w:val="006F19F4"/>
    <w:rsid w:val="00733AD8"/>
    <w:rsid w:val="00812577"/>
    <w:rsid w:val="00855CD9"/>
    <w:rsid w:val="008E4FC7"/>
    <w:rsid w:val="009360E8"/>
    <w:rsid w:val="00981C81"/>
    <w:rsid w:val="00997A31"/>
    <w:rsid w:val="009E3A8D"/>
    <w:rsid w:val="00A055BA"/>
    <w:rsid w:val="00AD0823"/>
    <w:rsid w:val="00B8072D"/>
    <w:rsid w:val="00BB3919"/>
    <w:rsid w:val="00C46327"/>
    <w:rsid w:val="00C66934"/>
    <w:rsid w:val="00C96BA8"/>
    <w:rsid w:val="00CE48D1"/>
    <w:rsid w:val="00D12C7B"/>
    <w:rsid w:val="00DC4749"/>
    <w:rsid w:val="00E45EED"/>
    <w:rsid w:val="00E84931"/>
    <w:rsid w:val="00EB2EA2"/>
    <w:rsid w:val="00EC42DD"/>
    <w:rsid w:val="00F1134E"/>
    <w:rsid w:val="00F62CD0"/>
    <w:rsid w:val="00F67202"/>
    <w:rsid w:val="00F81D4B"/>
    <w:rsid w:val="00FB6632"/>
    <w:rsid w:val="00FD330D"/>
    <w:rsid w:val="00FD772B"/>
    <w:rsid w:val="011824EA"/>
    <w:rsid w:val="011A3E3C"/>
    <w:rsid w:val="01514940"/>
    <w:rsid w:val="01612E2D"/>
    <w:rsid w:val="01B058BF"/>
    <w:rsid w:val="01DA0C71"/>
    <w:rsid w:val="01E8592D"/>
    <w:rsid w:val="021E330B"/>
    <w:rsid w:val="02354413"/>
    <w:rsid w:val="02CC4656"/>
    <w:rsid w:val="031E3BBD"/>
    <w:rsid w:val="03570DDE"/>
    <w:rsid w:val="03796ED9"/>
    <w:rsid w:val="039E22F0"/>
    <w:rsid w:val="03C9068A"/>
    <w:rsid w:val="03D1175B"/>
    <w:rsid w:val="03E47367"/>
    <w:rsid w:val="04103F93"/>
    <w:rsid w:val="0428450C"/>
    <w:rsid w:val="043E30DE"/>
    <w:rsid w:val="04514EE3"/>
    <w:rsid w:val="048B290F"/>
    <w:rsid w:val="04D9299B"/>
    <w:rsid w:val="054315EA"/>
    <w:rsid w:val="055A5E62"/>
    <w:rsid w:val="05770BC7"/>
    <w:rsid w:val="05D0159B"/>
    <w:rsid w:val="05E36DBE"/>
    <w:rsid w:val="05E77C20"/>
    <w:rsid w:val="06153B9A"/>
    <w:rsid w:val="06AC177E"/>
    <w:rsid w:val="06AE5AB8"/>
    <w:rsid w:val="06C75586"/>
    <w:rsid w:val="06F76FBB"/>
    <w:rsid w:val="076C13C4"/>
    <w:rsid w:val="07BC6D1D"/>
    <w:rsid w:val="07BD74F1"/>
    <w:rsid w:val="07C22549"/>
    <w:rsid w:val="07D96765"/>
    <w:rsid w:val="08127370"/>
    <w:rsid w:val="081F6A4E"/>
    <w:rsid w:val="084069D4"/>
    <w:rsid w:val="085B27EF"/>
    <w:rsid w:val="087A5518"/>
    <w:rsid w:val="08964E27"/>
    <w:rsid w:val="089E0D73"/>
    <w:rsid w:val="08CE41C0"/>
    <w:rsid w:val="09A44AE4"/>
    <w:rsid w:val="09B31F9C"/>
    <w:rsid w:val="09BF7DB6"/>
    <w:rsid w:val="09FC0CC4"/>
    <w:rsid w:val="0A091AE4"/>
    <w:rsid w:val="0A1C0C14"/>
    <w:rsid w:val="0A34657D"/>
    <w:rsid w:val="0A791D37"/>
    <w:rsid w:val="0A9D25D7"/>
    <w:rsid w:val="0B097410"/>
    <w:rsid w:val="0B370307"/>
    <w:rsid w:val="0B6C451C"/>
    <w:rsid w:val="0B733E12"/>
    <w:rsid w:val="0B91283B"/>
    <w:rsid w:val="0B9A2358"/>
    <w:rsid w:val="0BCE4273"/>
    <w:rsid w:val="0BDA3CB1"/>
    <w:rsid w:val="0CAD4D2B"/>
    <w:rsid w:val="0CEB2814"/>
    <w:rsid w:val="0D254464"/>
    <w:rsid w:val="0D3443EE"/>
    <w:rsid w:val="0D4B04C5"/>
    <w:rsid w:val="0D5A6BE9"/>
    <w:rsid w:val="0D823FD2"/>
    <w:rsid w:val="0D95268B"/>
    <w:rsid w:val="0DC77A42"/>
    <w:rsid w:val="0E1244F9"/>
    <w:rsid w:val="0E200BAD"/>
    <w:rsid w:val="0E2E7122"/>
    <w:rsid w:val="0E4675F7"/>
    <w:rsid w:val="0E770513"/>
    <w:rsid w:val="0F2E11AC"/>
    <w:rsid w:val="0F5A1772"/>
    <w:rsid w:val="0F5F145D"/>
    <w:rsid w:val="0F676AD5"/>
    <w:rsid w:val="0F6A7683"/>
    <w:rsid w:val="0F805BD2"/>
    <w:rsid w:val="0F8A197B"/>
    <w:rsid w:val="0FDC5C50"/>
    <w:rsid w:val="10004BA9"/>
    <w:rsid w:val="10027ABC"/>
    <w:rsid w:val="105844AC"/>
    <w:rsid w:val="10655366"/>
    <w:rsid w:val="109E51FA"/>
    <w:rsid w:val="10B32FEA"/>
    <w:rsid w:val="10FD3BA8"/>
    <w:rsid w:val="111141BE"/>
    <w:rsid w:val="11A65EC4"/>
    <w:rsid w:val="11A7332C"/>
    <w:rsid w:val="11B07A8C"/>
    <w:rsid w:val="11BE3143"/>
    <w:rsid w:val="11BE71F0"/>
    <w:rsid w:val="11C5385A"/>
    <w:rsid w:val="11F53E21"/>
    <w:rsid w:val="122B30AA"/>
    <w:rsid w:val="127A1754"/>
    <w:rsid w:val="129D220E"/>
    <w:rsid w:val="12E21284"/>
    <w:rsid w:val="12E645D4"/>
    <w:rsid w:val="12E93148"/>
    <w:rsid w:val="13026587"/>
    <w:rsid w:val="130409AD"/>
    <w:rsid w:val="13365C5E"/>
    <w:rsid w:val="137A32C5"/>
    <w:rsid w:val="13BF3163"/>
    <w:rsid w:val="143833C9"/>
    <w:rsid w:val="147960C0"/>
    <w:rsid w:val="147A3DDA"/>
    <w:rsid w:val="14CF1E16"/>
    <w:rsid w:val="14F70D85"/>
    <w:rsid w:val="15191E01"/>
    <w:rsid w:val="153B37E8"/>
    <w:rsid w:val="15F250DF"/>
    <w:rsid w:val="16501966"/>
    <w:rsid w:val="16675836"/>
    <w:rsid w:val="167F5ECB"/>
    <w:rsid w:val="16832897"/>
    <w:rsid w:val="16847DAA"/>
    <w:rsid w:val="16B520BA"/>
    <w:rsid w:val="16CE2915"/>
    <w:rsid w:val="171137CA"/>
    <w:rsid w:val="172379F0"/>
    <w:rsid w:val="17272585"/>
    <w:rsid w:val="172D54B6"/>
    <w:rsid w:val="174A68BF"/>
    <w:rsid w:val="17DF4839"/>
    <w:rsid w:val="1815443F"/>
    <w:rsid w:val="18570A59"/>
    <w:rsid w:val="18595F23"/>
    <w:rsid w:val="186B23FE"/>
    <w:rsid w:val="187D13DB"/>
    <w:rsid w:val="18AD75C5"/>
    <w:rsid w:val="18ED484C"/>
    <w:rsid w:val="195C5995"/>
    <w:rsid w:val="19634E17"/>
    <w:rsid w:val="19A85788"/>
    <w:rsid w:val="19C40474"/>
    <w:rsid w:val="1A073EA9"/>
    <w:rsid w:val="1A906B82"/>
    <w:rsid w:val="1AF91D5B"/>
    <w:rsid w:val="1B1C4EF0"/>
    <w:rsid w:val="1B7E169A"/>
    <w:rsid w:val="1B953992"/>
    <w:rsid w:val="1BA2074C"/>
    <w:rsid w:val="1BAD17F2"/>
    <w:rsid w:val="1BE749C8"/>
    <w:rsid w:val="1C006A5D"/>
    <w:rsid w:val="1C6D688A"/>
    <w:rsid w:val="1C9A66E0"/>
    <w:rsid w:val="1CBA327F"/>
    <w:rsid w:val="1D31650D"/>
    <w:rsid w:val="1D3449D2"/>
    <w:rsid w:val="1D3537F6"/>
    <w:rsid w:val="1D557F73"/>
    <w:rsid w:val="1DAD2D4A"/>
    <w:rsid w:val="1DD05F14"/>
    <w:rsid w:val="1DE14254"/>
    <w:rsid w:val="1DE87350"/>
    <w:rsid w:val="1DF84F48"/>
    <w:rsid w:val="1E1E260B"/>
    <w:rsid w:val="1E200562"/>
    <w:rsid w:val="1E225083"/>
    <w:rsid w:val="1E395482"/>
    <w:rsid w:val="1E472CA5"/>
    <w:rsid w:val="1E6A6978"/>
    <w:rsid w:val="1E7D5579"/>
    <w:rsid w:val="1EFE4E7A"/>
    <w:rsid w:val="1F1E2130"/>
    <w:rsid w:val="1F577710"/>
    <w:rsid w:val="1F686132"/>
    <w:rsid w:val="20243774"/>
    <w:rsid w:val="202C75BD"/>
    <w:rsid w:val="208F2510"/>
    <w:rsid w:val="2160774C"/>
    <w:rsid w:val="21855B4D"/>
    <w:rsid w:val="21CB7DB8"/>
    <w:rsid w:val="226B06BE"/>
    <w:rsid w:val="22A047F0"/>
    <w:rsid w:val="22C47414"/>
    <w:rsid w:val="22D11CC4"/>
    <w:rsid w:val="22E80D0A"/>
    <w:rsid w:val="23321DB4"/>
    <w:rsid w:val="23355358"/>
    <w:rsid w:val="23741C73"/>
    <w:rsid w:val="238F3986"/>
    <w:rsid w:val="23D7408F"/>
    <w:rsid w:val="23F20FB3"/>
    <w:rsid w:val="24061916"/>
    <w:rsid w:val="24943579"/>
    <w:rsid w:val="24DA1AFB"/>
    <w:rsid w:val="24DC7D1A"/>
    <w:rsid w:val="25594BB1"/>
    <w:rsid w:val="255F19A0"/>
    <w:rsid w:val="25D75BBE"/>
    <w:rsid w:val="25F82FDB"/>
    <w:rsid w:val="26317A81"/>
    <w:rsid w:val="26507E64"/>
    <w:rsid w:val="265F5288"/>
    <w:rsid w:val="266B1235"/>
    <w:rsid w:val="271865C6"/>
    <w:rsid w:val="272E3DC9"/>
    <w:rsid w:val="274C4847"/>
    <w:rsid w:val="274C61F8"/>
    <w:rsid w:val="27975558"/>
    <w:rsid w:val="2798259C"/>
    <w:rsid w:val="27C40D3D"/>
    <w:rsid w:val="27D10A72"/>
    <w:rsid w:val="27FD37A1"/>
    <w:rsid w:val="280E4BA8"/>
    <w:rsid w:val="2834169C"/>
    <w:rsid w:val="28670DFA"/>
    <w:rsid w:val="290D214D"/>
    <w:rsid w:val="29A00A0E"/>
    <w:rsid w:val="29CB57E7"/>
    <w:rsid w:val="2A0400E4"/>
    <w:rsid w:val="2A0E007D"/>
    <w:rsid w:val="2A102415"/>
    <w:rsid w:val="2A5C7B5F"/>
    <w:rsid w:val="2AF5164E"/>
    <w:rsid w:val="2B1C3D0A"/>
    <w:rsid w:val="2B7B222A"/>
    <w:rsid w:val="2B992639"/>
    <w:rsid w:val="2BAE6273"/>
    <w:rsid w:val="2BBD3C0A"/>
    <w:rsid w:val="2C0D5F82"/>
    <w:rsid w:val="2C5F455E"/>
    <w:rsid w:val="2C6429DE"/>
    <w:rsid w:val="2C9D14EC"/>
    <w:rsid w:val="2CE62D79"/>
    <w:rsid w:val="2CF02873"/>
    <w:rsid w:val="2CF96D0B"/>
    <w:rsid w:val="2D15577A"/>
    <w:rsid w:val="2D187781"/>
    <w:rsid w:val="2D225B48"/>
    <w:rsid w:val="2D7B7E22"/>
    <w:rsid w:val="2D84743A"/>
    <w:rsid w:val="2D9164A7"/>
    <w:rsid w:val="2DD151BE"/>
    <w:rsid w:val="2E127E96"/>
    <w:rsid w:val="2E3B4524"/>
    <w:rsid w:val="2E820CF5"/>
    <w:rsid w:val="2E9C5898"/>
    <w:rsid w:val="2EBF28B2"/>
    <w:rsid w:val="2EDD54F0"/>
    <w:rsid w:val="2EFD68F9"/>
    <w:rsid w:val="2F68144B"/>
    <w:rsid w:val="2F6B5602"/>
    <w:rsid w:val="2F6D7936"/>
    <w:rsid w:val="2FC654A1"/>
    <w:rsid w:val="3052326F"/>
    <w:rsid w:val="30942767"/>
    <w:rsid w:val="309F33C4"/>
    <w:rsid w:val="31652DFE"/>
    <w:rsid w:val="31792462"/>
    <w:rsid w:val="319E29DB"/>
    <w:rsid w:val="31C25B3F"/>
    <w:rsid w:val="31FD4B34"/>
    <w:rsid w:val="321D45AF"/>
    <w:rsid w:val="32273A6B"/>
    <w:rsid w:val="325A6A2D"/>
    <w:rsid w:val="331346F9"/>
    <w:rsid w:val="3358091A"/>
    <w:rsid w:val="33D13C82"/>
    <w:rsid w:val="33DA0087"/>
    <w:rsid w:val="33DF7478"/>
    <w:rsid w:val="34756EBB"/>
    <w:rsid w:val="34D14981"/>
    <w:rsid w:val="34D35444"/>
    <w:rsid w:val="34F91FC9"/>
    <w:rsid w:val="3567676D"/>
    <w:rsid w:val="35705F0A"/>
    <w:rsid w:val="359059C1"/>
    <w:rsid w:val="35CB332A"/>
    <w:rsid w:val="360D6B8C"/>
    <w:rsid w:val="36143B17"/>
    <w:rsid w:val="36171B52"/>
    <w:rsid w:val="365A074A"/>
    <w:rsid w:val="367D757A"/>
    <w:rsid w:val="36852C07"/>
    <w:rsid w:val="370D08E6"/>
    <w:rsid w:val="37483A77"/>
    <w:rsid w:val="375D1161"/>
    <w:rsid w:val="377454DD"/>
    <w:rsid w:val="378A5F0B"/>
    <w:rsid w:val="378B6422"/>
    <w:rsid w:val="37EF46CE"/>
    <w:rsid w:val="382131BC"/>
    <w:rsid w:val="386A798F"/>
    <w:rsid w:val="39082236"/>
    <w:rsid w:val="39311DDE"/>
    <w:rsid w:val="39333EBE"/>
    <w:rsid w:val="393C7C9F"/>
    <w:rsid w:val="393E3B58"/>
    <w:rsid w:val="39AE2E91"/>
    <w:rsid w:val="39B50F65"/>
    <w:rsid w:val="39E77A43"/>
    <w:rsid w:val="39EC32C4"/>
    <w:rsid w:val="39EF6814"/>
    <w:rsid w:val="3A550120"/>
    <w:rsid w:val="3A8515C1"/>
    <w:rsid w:val="3AAB3E7E"/>
    <w:rsid w:val="3AF76BFD"/>
    <w:rsid w:val="3B227863"/>
    <w:rsid w:val="3B55089B"/>
    <w:rsid w:val="3B820949"/>
    <w:rsid w:val="3BD745D2"/>
    <w:rsid w:val="3BF34685"/>
    <w:rsid w:val="3C270936"/>
    <w:rsid w:val="3C4A7FF2"/>
    <w:rsid w:val="3C6B62C4"/>
    <w:rsid w:val="3C935BA4"/>
    <w:rsid w:val="3C9816E5"/>
    <w:rsid w:val="3C9C2C3D"/>
    <w:rsid w:val="3CA61E1C"/>
    <w:rsid w:val="3CB3282C"/>
    <w:rsid w:val="3CBF4731"/>
    <w:rsid w:val="3CD5513C"/>
    <w:rsid w:val="3D810846"/>
    <w:rsid w:val="3DE0204B"/>
    <w:rsid w:val="3DFA467C"/>
    <w:rsid w:val="3E71426C"/>
    <w:rsid w:val="3E823EDC"/>
    <w:rsid w:val="3EA040BD"/>
    <w:rsid w:val="3EE06780"/>
    <w:rsid w:val="3EEE104E"/>
    <w:rsid w:val="3F45038B"/>
    <w:rsid w:val="3F8B3304"/>
    <w:rsid w:val="3FDB1341"/>
    <w:rsid w:val="3FE54E5D"/>
    <w:rsid w:val="4006412C"/>
    <w:rsid w:val="40094104"/>
    <w:rsid w:val="404C0CF9"/>
    <w:rsid w:val="40640E2F"/>
    <w:rsid w:val="406B210E"/>
    <w:rsid w:val="409625CE"/>
    <w:rsid w:val="40C769F4"/>
    <w:rsid w:val="40CC25B9"/>
    <w:rsid w:val="40EF4BC4"/>
    <w:rsid w:val="410A762F"/>
    <w:rsid w:val="411B7A6D"/>
    <w:rsid w:val="41771692"/>
    <w:rsid w:val="41A16874"/>
    <w:rsid w:val="41E0111D"/>
    <w:rsid w:val="42114E2A"/>
    <w:rsid w:val="422A0699"/>
    <w:rsid w:val="42BC77A0"/>
    <w:rsid w:val="42CD3969"/>
    <w:rsid w:val="43581A3C"/>
    <w:rsid w:val="43991929"/>
    <w:rsid w:val="43AA0050"/>
    <w:rsid w:val="43BA2E27"/>
    <w:rsid w:val="43EA3B61"/>
    <w:rsid w:val="440135DD"/>
    <w:rsid w:val="44022A6D"/>
    <w:rsid w:val="440C1EBE"/>
    <w:rsid w:val="444326BE"/>
    <w:rsid w:val="44B11C56"/>
    <w:rsid w:val="44F7437F"/>
    <w:rsid w:val="450568A6"/>
    <w:rsid w:val="45122AB3"/>
    <w:rsid w:val="4522367B"/>
    <w:rsid w:val="45392E2E"/>
    <w:rsid w:val="45AE09DF"/>
    <w:rsid w:val="45E15A9F"/>
    <w:rsid w:val="46037F64"/>
    <w:rsid w:val="46084CA5"/>
    <w:rsid w:val="463141FE"/>
    <w:rsid w:val="463FDD73"/>
    <w:rsid w:val="464C5820"/>
    <w:rsid w:val="469310A3"/>
    <w:rsid w:val="469E39D0"/>
    <w:rsid w:val="46BE75A7"/>
    <w:rsid w:val="46DA53A3"/>
    <w:rsid w:val="46F8725E"/>
    <w:rsid w:val="4720748E"/>
    <w:rsid w:val="473E3C45"/>
    <w:rsid w:val="475E5FCD"/>
    <w:rsid w:val="47BB3B6F"/>
    <w:rsid w:val="47E52C6A"/>
    <w:rsid w:val="481F6CD6"/>
    <w:rsid w:val="487D7027"/>
    <w:rsid w:val="48B32061"/>
    <w:rsid w:val="48B81244"/>
    <w:rsid w:val="48D50370"/>
    <w:rsid w:val="49230C1D"/>
    <w:rsid w:val="496350A0"/>
    <w:rsid w:val="497F374F"/>
    <w:rsid w:val="49B131C0"/>
    <w:rsid w:val="49B3051D"/>
    <w:rsid w:val="49F20068"/>
    <w:rsid w:val="4A9C48A4"/>
    <w:rsid w:val="4B0A3801"/>
    <w:rsid w:val="4B3B6ECB"/>
    <w:rsid w:val="4B837DCC"/>
    <w:rsid w:val="4BA75DA8"/>
    <w:rsid w:val="4BA82023"/>
    <w:rsid w:val="4BD078A5"/>
    <w:rsid w:val="4BF11F5E"/>
    <w:rsid w:val="4C2F6183"/>
    <w:rsid w:val="4C5209B6"/>
    <w:rsid w:val="4CC1157E"/>
    <w:rsid w:val="4CC5609F"/>
    <w:rsid w:val="4CCF09C5"/>
    <w:rsid w:val="4CE03781"/>
    <w:rsid w:val="4CEA062F"/>
    <w:rsid w:val="4D2C22F0"/>
    <w:rsid w:val="4D3E36CD"/>
    <w:rsid w:val="4DAE3D7A"/>
    <w:rsid w:val="4DBF1835"/>
    <w:rsid w:val="4DF225B4"/>
    <w:rsid w:val="4E1B3978"/>
    <w:rsid w:val="4E224FA9"/>
    <w:rsid w:val="4E2772DA"/>
    <w:rsid w:val="4EA353EF"/>
    <w:rsid w:val="4EB15D5A"/>
    <w:rsid w:val="4EC4297F"/>
    <w:rsid w:val="4ED466F8"/>
    <w:rsid w:val="4EDB3249"/>
    <w:rsid w:val="4F5158A0"/>
    <w:rsid w:val="4F5F1932"/>
    <w:rsid w:val="4F604212"/>
    <w:rsid w:val="4FA4313B"/>
    <w:rsid w:val="4FAC7690"/>
    <w:rsid w:val="504547F9"/>
    <w:rsid w:val="504A2C1F"/>
    <w:rsid w:val="50566F38"/>
    <w:rsid w:val="50620057"/>
    <w:rsid w:val="50843E75"/>
    <w:rsid w:val="5186124B"/>
    <w:rsid w:val="51DD249B"/>
    <w:rsid w:val="5262213B"/>
    <w:rsid w:val="5293776A"/>
    <w:rsid w:val="52B940E4"/>
    <w:rsid w:val="53152E20"/>
    <w:rsid w:val="534F21D1"/>
    <w:rsid w:val="537E4DA3"/>
    <w:rsid w:val="53AD5614"/>
    <w:rsid w:val="53C6152C"/>
    <w:rsid w:val="53CB28CE"/>
    <w:rsid w:val="541025E1"/>
    <w:rsid w:val="543F74A5"/>
    <w:rsid w:val="545D57FE"/>
    <w:rsid w:val="545E2A56"/>
    <w:rsid w:val="55260E4B"/>
    <w:rsid w:val="55520E45"/>
    <w:rsid w:val="555A121E"/>
    <w:rsid w:val="557C3F0A"/>
    <w:rsid w:val="559B519E"/>
    <w:rsid w:val="55BB482D"/>
    <w:rsid w:val="55E86C54"/>
    <w:rsid w:val="5607550E"/>
    <w:rsid w:val="567B0759"/>
    <w:rsid w:val="56C56B1E"/>
    <w:rsid w:val="56D74122"/>
    <w:rsid w:val="574C6788"/>
    <w:rsid w:val="57D47847"/>
    <w:rsid w:val="57F778C8"/>
    <w:rsid w:val="58056027"/>
    <w:rsid w:val="582B2170"/>
    <w:rsid w:val="583D5469"/>
    <w:rsid w:val="591572E8"/>
    <w:rsid w:val="593F5F6D"/>
    <w:rsid w:val="594A7936"/>
    <w:rsid w:val="598E6D07"/>
    <w:rsid w:val="5A0513E5"/>
    <w:rsid w:val="5A0C59A8"/>
    <w:rsid w:val="5A2A7C56"/>
    <w:rsid w:val="5A443541"/>
    <w:rsid w:val="5A9162EB"/>
    <w:rsid w:val="5ACB62B6"/>
    <w:rsid w:val="5ADA71FD"/>
    <w:rsid w:val="5B360699"/>
    <w:rsid w:val="5B3851CB"/>
    <w:rsid w:val="5B5C7395"/>
    <w:rsid w:val="5B7841E8"/>
    <w:rsid w:val="5BAB6DAB"/>
    <w:rsid w:val="5BBD41C4"/>
    <w:rsid w:val="5BBE4FD6"/>
    <w:rsid w:val="5C755006"/>
    <w:rsid w:val="5CB353D5"/>
    <w:rsid w:val="5D5B0738"/>
    <w:rsid w:val="5D6633EA"/>
    <w:rsid w:val="5DC73739"/>
    <w:rsid w:val="5E2D0D5C"/>
    <w:rsid w:val="5E5B4902"/>
    <w:rsid w:val="5EA40E8F"/>
    <w:rsid w:val="5EE45508"/>
    <w:rsid w:val="5EEB6382"/>
    <w:rsid w:val="5EF06CEF"/>
    <w:rsid w:val="5EFA1101"/>
    <w:rsid w:val="5F011071"/>
    <w:rsid w:val="5F3718F7"/>
    <w:rsid w:val="5F7919A4"/>
    <w:rsid w:val="5F79364B"/>
    <w:rsid w:val="5F807946"/>
    <w:rsid w:val="5F8960A3"/>
    <w:rsid w:val="5FA2646B"/>
    <w:rsid w:val="5FB97542"/>
    <w:rsid w:val="60157413"/>
    <w:rsid w:val="60A54F9A"/>
    <w:rsid w:val="60E41644"/>
    <w:rsid w:val="60ED4B22"/>
    <w:rsid w:val="6104243F"/>
    <w:rsid w:val="61133040"/>
    <w:rsid w:val="614417A1"/>
    <w:rsid w:val="61480829"/>
    <w:rsid w:val="619111CF"/>
    <w:rsid w:val="620468E5"/>
    <w:rsid w:val="624D7D56"/>
    <w:rsid w:val="626059AD"/>
    <w:rsid w:val="62E332A9"/>
    <w:rsid w:val="63191D83"/>
    <w:rsid w:val="63234854"/>
    <w:rsid w:val="63774EB6"/>
    <w:rsid w:val="639505DC"/>
    <w:rsid w:val="639F5AB7"/>
    <w:rsid w:val="63F11811"/>
    <w:rsid w:val="64013678"/>
    <w:rsid w:val="645B6BE2"/>
    <w:rsid w:val="64D06152"/>
    <w:rsid w:val="64F76C99"/>
    <w:rsid w:val="65044748"/>
    <w:rsid w:val="65825AAC"/>
    <w:rsid w:val="65842F56"/>
    <w:rsid w:val="65AE5FC6"/>
    <w:rsid w:val="65B31A18"/>
    <w:rsid w:val="65C40E56"/>
    <w:rsid w:val="65FB6648"/>
    <w:rsid w:val="66B65801"/>
    <w:rsid w:val="66BC0323"/>
    <w:rsid w:val="677D7B24"/>
    <w:rsid w:val="678F3ED6"/>
    <w:rsid w:val="67B93315"/>
    <w:rsid w:val="67CE63DD"/>
    <w:rsid w:val="67F95C5D"/>
    <w:rsid w:val="680B6D20"/>
    <w:rsid w:val="680F5777"/>
    <w:rsid w:val="68BE71CD"/>
    <w:rsid w:val="68DD67B8"/>
    <w:rsid w:val="68E34B56"/>
    <w:rsid w:val="69693092"/>
    <w:rsid w:val="699B2A19"/>
    <w:rsid w:val="69B02CB6"/>
    <w:rsid w:val="6A144860"/>
    <w:rsid w:val="6A793B79"/>
    <w:rsid w:val="6A9B041B"/>
    <w:rsid w:val="6AB951F7"/>
    <w:rsid w:val="6AD22D9C"/>
    <w:rsid w:val="6AE77EFF"/>
    <w:rsid w:val="6B0C6016"/>
    <w:rsid w:val="6B454566"/>
    <w:rsid w:val="6B730D82"/>
    <w:rsid w:val="6BDA629F"/>
    <w:rsid w:val="6BED393A"/>
    <w:rsid w:val="6C00638C"/>
    <w:rsid w:val="6C055182"/>
    <w:rsid w:val="6C536C50"/>
    <w:rsid w:val="6C5A0A2D"/>
    <w:rsid w:val="6CE0465B"/>
    <w:rsid w:val="6CF75A03"/>
    <w:rsid w:val="6D912B46"/>
    <w:rsid w:val="6DBA09C2"/>
    <w:rsid w:val="6DDF75EF"/>
    <w:rsid w:val="6DFE6FF4"/>
    <w:rsid w:val="6E154549"/>
    <w:rsid w:val="6E227022"/>
    <w:rsid w:val="6E5C75A5"/>
    <w:rsid w:val="6E755891"/>
    <w:rsid w:val="6EAB30BC"/>
    <w:rsid w:val="6EF959D1"/>
    <w:rsid w:val="6EFA7D9E"/>
    <w:rsid w:val="6F3753FD"/>
    <w:rsid w:val="6F423A92"/>
    <w:rsid w:val="6F466AA1"/>
    <w:rsid w:val="6F8A5B29"/>
    <w:rsid w:val="6FB256EA"/>
    <w:rsid w:val="6FC32F98"/>
    <w:rsid w:val="70081BB8"/>
    <w:rsid w:val="70981B97"/>
    <w:rsid w:val="7113250D"/>
    <w:rsid w:val="71255393"/>
    <w:rsid w:val="71433027"/>
    <w:rsid w:val="719C1D09"/>
    <w:rsid w:val="71BC219B"/>
    <w:rsid w:val="72337677"/>
    <w:rsid w:val="724C3AF9"/>
    <w:rsid w:val="72800C3A"/>
    <w:rsid w:val="72D26E63"/>
    <w:rsid w:val="731C44E6"/>
    <w:rsid w:val="73C14BD4"/>
    <w:rsid w:val="740A70E1"/>
    <w:rsid w:val="742B7A08"/>
    <w:rsid w:val="749411FE"/>
    <w:rsid w:val="74D4248D"/>
    <w:rsid w:val="75191B13"/>
    <w:rsid w:val="757A1E04"/>
    <w:rsid w:val="75BB586D"/>
    <w:rsid w:val="760C7053"/>
    <w:rsid w:val="76494375"/>
    <w:rsid w:val="765701DA"/>
    <w:rsid w:val="76917601"/>
    <w:rsid w:val="772C2EF2"/>
    <w:rsid w:val="77374763"/>
    <w:rsid w:val="773770B5"/>
    <w:rsid w:val="775B16C6"/>
    <w:rsid w:val="7769144F"/>
    <w:rsid w:val="778C6C48"/>
    <w:rsid w:val="77BA09B5"/>
    <w:rsid w:val="77FC3BE7"/>
    <w:rsid w:val="78000A78"/>
    <w:rsid w:val="782E6676"/>
    <w:rsid w:val="78B40E93"/>
    <w:rsid w:val="78EA735A"/>
    <w:rsid w:val="7934041F"/>
    <w:rsid w:val="793611FF"/>
    <w:rsid w:val="797254CD"/>
    <w:rsid w:val="7A3778CD"/>
    <w:rsid w:val="7A415872"/>
    <w:rsid w:val="7A8E5DD1"/>
    <w:rsid w:val="7AB361A6"/>
    <w:rsid w:val="7AB37F96"/>
    <w:rsid w:val="7ABB13A2"/>
    <w:rsid w:val="7AC33791"/>
    <w:rsid w:val="7AE31597"/>
    <w:rsid w:val="7AEF4A5D"/>
    <w:rsid w:val="7AEF4FCF"/>
    <w:rsid w:val="7B473A05"/>
    <w:rsid w:val="7BD451FC"/>
    <w:rsid w:val="7C254D34"/>
    <w:rsid w:val="7C492641"/>
    <w:rsid w:val="7C4D3D1C"/>
    <w:rsid w:val="7C7C0936"/>
    <w:rsid w:val="7CA47C2B"/>
    <w:rsid w:val="7CAB563A"/>
    <w:rsid w:val="7CB22835"/>
    <w:rsid w:val="7CC36E12"/>
    <w:rsid w:val="7D322B5D"/>
    <w:rsid w:val="7D4A70A0"/>
    <w:rsid w:val="7D7E14EB"/>
    <w:rsid w:val="7D957532"/>
    <w:rsid w:val="7DA02378"/>
    <w:rsid w:val="7DBA2711"/>
    <w:rsid w:val="7E364DF9"/>
    <w:rsid w:val="7E5271A3"/>
    <w:rsid w:val="7E985D56"/>
    <w:rsid w:val="7F3A61BD"/>
    <w:rsid w:val="7F483113"/>
    <w:rsid w:val="7F5764B4"/>
    <w:rsid w:val="7F7A7962"/>
    <w:rsid w:val="7F870CFE"/>
    <w:rsid w:val="7F911A9D"/>
    <w:rsid w:val="7F990F33"/>
    <w:rsid w:val="7FDC6B23"/>
    <w:rsid w:val="FBB781B9"/>
    <w:rsid w:val="FBCF1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pPr>
      <w:spacing w:beforeLines="30"/>
    </w:pPr>
    <w:rPr>
      <w:rFonts w:ascii="仿宋_GB2312" w:eastAsia="仿宋_GB2312"/>
      <w:kern w:val="0"/>
      <w:sz w:val="24"/>
      <w:szCs w:val="20"/>
    </w:rPr>
  </w:style>
  <w:style w:type="paragraph" w:styleId="6">
    <w:name w:val="Balloon Text"/>
    <w:basedOn w:val="1"/>
    <w:link w:val="2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qFormat/>
    <w:uiPriority w:val="0"/>
    <w:pPr>
      <w:ind w:left="420" w:leftChars="200"/>
    </w:pPr>
  </w:style>
  <w:style w:type="character" w:styleId="13">
    <w:name w:val="Strong"/>
    <w:qFormat/>
    <w:uiPriority w:val="99"/>
    <w:rPr>
      <w:rFonts w:cs="Times New Roman"/>
      <w:b/>
    </w:rPr>
  </w:style>
  <w:style w:type="character" w:styleId="14">
    <w:name w:val="annotation reference"/>
    <w:basedOn w:val="12"/>
    <w:qFormat/>
    <w:uiPriority w:val="0"/>
    <w:rPr>
      <w:sz w:val="21"/>
      <w:szCs w:val="21"/>
    </w:rPr>
  </w:style>
  <w:style w:type="character" w:customStyle="1" w:styleId="15">
    <w:name w:val="标题 1 Char"/>
    <w:link w:val="2"/>
    <w:qFormat/>
    <w:locked/>
    <w:uiPriority w:val="9"/>
    <w:rPr>
      <w:b/>
      <w:bCs/>
      <w:kern w:val="44"/>
      <w:sz w:val="44"/>
      <w:szCs w:val="44"/>
    </w:rPr>
  </w:style>
  <w:style w:type="paragraph" w:customStyle="1" w:styleId="16">
    <w:name w:val="列出段落1"/>
    <w:basedOn w:val="1"/>
    <w:qFormat/>
    <w:uiPriority w:val="34"/>
    <w:pPr>
      <w:ind w:firstLine="420" w:firstLineChars="200"/>
    </w:pPr>
  </w:style>
  <w:style w:type="character" w:customStyle="1" w:styleId="17">
    <w:name w:val="标题 2 Char"/>
    <w:link w:val="3"/>
    <w:qFormat/>
    <w:locked/>
    <w:uiPriority w:val="9"/>
    <w:rPr>
      <w:rFonts w:ascii="Cambria" w:hAnsi="Cambria"/>
      <w:b/>
      <w:bCs/>
      <w:sz w:val="32"/>
      <w:szCs w:val="32"/>
    </w:rPr>
  </w:style>
  <w:style w:type="paragraph" w:customStyle="1" w:styleId="18">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22">
    <w:name w:val="默认段落字体1"/>
    <w:qFormat/>
    <w:uiPriority w:val="0"/>
  </w:style>
  <w:style w:type="character" w:customStyle="1" w:styleId="23">
    <w:name w:val="默认段落字体5"/>
    <w:qFormat/>
    <w:uiPriority w:val="0"/>
    <w:rPr>
      <w:sz w:val="22"/>
    </w:rPr>
  </w:style>
  <w:style w:type="character" w:customStyle="1" w:styleId="24">
    <w:name w:val="font21"/>
    <w:basedOn w:val="12"/>
    <w:qFormat/>
    <w:uiPriority w:val="0"/>
    <w:rPr>
      <w:rFonts w:hint="eastAsia" w:ascii="宋体" w:hAnsi="宋体" w:eastAsia="宋体" w:cs="宋体"/>
      <w:color w:val="000000"/>
      <w:sz w:val="36"/>
      <w:szCs w:val="36"/>
      <w:u w:val="none"/>
    </w:rPr>
  </w:style>
  <w:style w:type="character" w:customStyle="1" w:styleId="25">
    <w:name w:val="font11"/>
    <w:basedOn w:val="12"/>
    <w:qFormat/>
    <w:uiPriority w:val="0"/>
    <w:rPr>
      <w:rFonts w:hint="eastAsia" w:ascii="仿宋_GB2312" w:eastAsia="仿宋_GB2312" w:cs="仿宋_GB2312"/>
      <w:color w:val="000000"/>
      <w:sz w:val="18"/>
      <w:szCs w:val="18"/>
      <w:u w:val="none"/>
    </w:rPr>
  </w:style>
  <w:style w:type="character" w:customStyle="1" w:styleId="26">
    <w:name w:val="font31"/>
    <w:basedOn w:val="12"/>
    <w:qFormat/>
    <w:uiPriority w:val="0"/>
    <w:rPr>
      <w:rFonts w:hint="eastAsia" w:ascii="仿宋_GB2312" w:eastAsia="仿宋_GB2312" w:cs="仿宋_GB2312"/>
      <w:color w:val="000000"/>
      <w:sz w:val="24"/>
      <w:szCs w:val="24"/>
      <w:u w:val="none"/>
    </w:rPr>
  </w:style>
  <w:style w:type="character" w:customStyle="1" w:styleId="27">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28">
    <w:name w:val="标题 2 Char1"/>
    <w:link w:val="3"/>
    <w:qFormat/>
    <w:locked/>
    <w:uiPriority w:val="9"/>
    <w:rPr>
      <w:rFonts w:ascii="Cambria" w:hAnsi="Cambria" w:eastAsia="宋体" w:cs="Times New Roman"/>
      <w:b/>
      <w:bCs/>
      <w:kern w:val="2"/>
      <w:sz w:val="32"/>
      <w:szCs w:val="32"/>
    </w:rPr>
  </w:style>
  <w:style w:type="paragraph" w:customStyle="1" w:styleId="29">
    <w:name w:val="WPSOffice手动目录 3"/>
    <w:qFormat/>
    <w:uiPriority w:val="0"/>
    <w:pPr>
      <w:ind w:left="400" w:leftChars="400"/>
    </w:pPr>
    <w:rPr>
      <w:rFonts w:ascii="Calibri" w:hAnsi="Calibri" w:eastAsia="宋体" w:cs="Times New Roman"/>
      <w:lang w:val="en-US" w:eastAsia="zh-CN" w:bidi="ar-SA"/>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Sheet1!$B$2</c:f>
              <c:strCache>
                <c:ptCount val="1"/>
                <c:pt idx="0">
                  <c:v>收、支总计</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Sheet1!$A$3:$A$4</c:f>
              <c:strCache>
                <c:ptCount val="2"/>
                <c:pt idx="0">
                  <c:v>2018年</c:v>
                </c:pt>
                <c:pt idx="1">
                  <c:v>2019年</c:v>
                </c:pt>
              </c:strCache>
            </c:strRef>
          </c:cat>
          <c:val>
            <c:numRef>
              <c:f>Sheet1!$B$3:$B$4</c:f>
              <c:numCache>
                <c:formatCode>General</c:formatCode>
                <c:ptCount val="2"/>
                <c:pt idx="0">
                  <c:v>171472.38</c:v>
                </c:pt>
                <c:pt idx="1">
                  <c:v>189865.48</c:v>
                </c:pt>
              </c:numCache>
            </c:numRef>
          </c:val>
        </c:ser>
        <c:dLbls>
          <c:showLegendKey val="false"/>
          <c:showVal val="true"/>
          <c:showCatName val="false"/>
          <c:showSerName val="false"/>
          <c:showPercent val="false"/>
          <c:showBubbleSize val="false"/>
        </c:dLbls>
        <c:gapWidth val="75"/>
        <c:axId val="87922944"/>
        <c:axId val="88637440"/>
      </c:barChart>
      <c:catAx>
        <c:axId val="87922944"/>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88637440"/>
        <c:crosses val="autoZero"/>
        <c:auto val="true"/>
        <c:lblAlgn val="ctr"/>
        <c:lblOffset val="100"/>
        <c:noMultiLvlLbl val="false"/>
      </c:catAx>
      <c:valAx>
        <c:axId val="88637440"/>
        <c:scaling>
          <c:orientation val="minMax"/>
        </c:scaling>
        <c:delete val="fals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87922944"/>
        <c:crosses val="autoZero"/>
        <c:crossBetween val="between"/>
      </c:valAx>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Lbls>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Sheet1!$A$25:$A$26</c:f>
              <c:strCache>
                <c:ptCount val="2"/>
                <c:pt idx="0">
                  <c:v>一般公共预算财政拨款收入</c:v>
                </c:pt>
                <c:pt idx="1">
                  <c:v>事业收入</c:v>
                </c:pt>
              </c:strCache>
            </c:strRef>
          </c:cat>
          <c:val>
            <c:numRef>
              <c:f>Sheet1!$B$25:$B$26</c:f>
              <c:numCache>
                <c:formatCode>General</c:formatCode>
                <c:ptCount val="2"/>
                <c:pt idx="0">
                  <c:v>3930.69</c:v>
                </c:pt>
                <c:pt idx="1">
                  <c:v>181684.45</c:v>
                </c:pt>
              </c:numCache>
            </c:numRef>
          </c:val>
        </c:ser>
        <c:dLbls>
          <c:showLegendKey val="false"/>
          <c:showVal val="fals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10"/>
    </mc:Choice>
    <mc:Fallback>
      <c:style val="10"/>
    </mc:Fallback>
  </mc:AlternateContent>
  <c:chart>
    <c:autoTitleDeleted val="true"/>
    <c:plotArea>
      <c:layout/>
      <c:pieChart>
        <c:varyColors val="true"/>
        <c:ser>
          <c:idx val="0"/>
          <c:order val="0"/>
          <c:explosion val="0"/>
          <c:dPt>
            <c:idx val="0"/>
            <c:bubble3D val="false"/>
          </c:dPt>
          <c:dPt>
            <c:idx val="1"/>
            <c:bubble3D val="false"/>
          </c:dPt>
          <c:dLbls>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Sheet1!$A$31:$A$32</c:f>
              <c:strCache>
                <c:ptCount val="2"/>
                <c:pt idx="0">
                  <c:v>基本支出</c:v>
                </c:pt>
                <c:pt idx="1">
                  <c:v>项目支出</c:v>
                </c:pt>
              </c:strCache>
            </c:strRef>
          </c:cat>
          <c:val>
            <c:numRef>
              <c:f>Sheet1!$B$31:$B$32</c:f>
              <c:numCache>
                <c:formatCode>General</c:formatCode>
                <c:ptCount val="2"/>
                <c:pt idx="0">
                  <c:v>176948.04</c:v>
                </c:pt>
                <c:pt idx="1">
                  <c:v>2457.81</c:v>
                </c:pt>
              </c:numCache>
            </c:numRef>
          </c:val>
        </c:ser>
        <c:dLbls>
          <c:showLegendKey val="false"/>
          <c:showVal val="false"/>
          <c:showCatName val="false"/>
          <c:showSerName val="false"/>
          <c:showPercent val="true"/>
          <c:showBubbleSize val="false"/>
          <c:showLeaderLines val="true"/>
        </c:dLbls>
        <c:firstSliceAng val="0"/>
      </c:pieChart>
    </c:plotArea>
    <c:legend>
      <c:legendPos val="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Sheet1!$B$37</c:f>
              <c:strCache>
                <c:ptCount val="1"/>
                <c:pt idx="0">
                  <c:v>财政拨款收、支总计</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Sheet1!$A$38:$A$39</c:f>
              <c:strCache>
                <c:ptCount val="2"/>
                <c:pt idx="0">
                  <c:v>2018年</c:v>
                </c:pt>
                <c:pt idx="1">
                  <c:v>2019年</c:v>
                </c:pt>
              </c:strCache>
            </c:strRef>
          </c:cat>
          <c:val>
            <c:numRef>
              <c:f>Sheet1!$B$38:$B$39</c:f>
              <c:numCache>
                <c:formatCode>General</c:formatCode>
                <c:ptCount val="2"/>
                <c:pt idx="0">
                  <c:v>7943.99</c:v>
                </c:pt>
                <c:pt idx="1">
                  <c:v>8055.36</c:v>
                </c:pt>
              </c:numCache>
            </c:numRef>
          </c:val>
        </c:ser>
        <c:dLbls>
          <c:showLegendKey val="false"/>
          <c:showVal val="true"/>
          <c:showCatName val="false"/>
          <c:showSerName val="false"/>
          <c:showPercent val="false"/>
          <c:showBubbleSize val="false"/>
        </c:dLbls>
        <c:gapWidth val="75"/>
        <c:axId val="154717184"/>
        <c:axId val="155628288"/>
      </c:barChart>
      <c:catAx>
        <c:axId val="154717184"/>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5628288"/>
        <c:crosses val="autoZero"/>
        <c:auto val="true"/>
        <c:lblAlgn val="ctr"/>
        <c:lblOffset val="100"/>
        <c:noMultiLvlLbl val="false"/>
      </c:catAx>
      <c:valAx>
        <c:axId val="155628288"/>
        <c:scaling>
          <c:orientation val="minMax"/>
        </c:scaling>
        <c:delete val="fals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4717184"/>
        <c:crosses val="autoZero"/>
        <c:crossBetween val="between"/>
      </c:valAx>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Sheet1!$B$42</c:f>
              <c:strCache>
                <c:ptCount val="1"/>
                <c:pt idx="0">
                  <c:v>一般公共预算财政拨款支出总计</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Sheet1!$A$43:$A$44</c:f>
              <c:strCache>
                <c:ptCount val="2"/>
                <c:pt idx="0">
                  <c:v>2018年</c:v>
                </c:pt>
                <c:pt idx="1">
                  <c:v>2019年</c:v>
                </c:pt>
              </c:strCache>
            </c:strRef>
          </c:cat>
          <c:val>
            <c:numRef>
              <c:f>Sheet1!$B$43:$B$44</c:f>
              <c:numCache>
                <c:formatCode>General</c:formatCode>
                <c:ptCount val="2"/>
                <c:pt idx="0">
                  <c:v>3767.54</c:v>
                </c:pt>
                <c:pt idx="1">
                  <c:v>3849.04</c:v>
                </c:pt>
              </c:numCache>
            </c:numRef>
          </c:val>
        </c:ser>
        <c:dLbls>
          <c:showLegendKey val="false"/>
          <c:showVal val="true"/>
          <c:showCatName val="false"/>
          <c:showSerName val="false"/>
          <c:showPercent val="false"/>
          <c:showBubbleSize val="false"/>
        </c:dLbls>
        <c:gapWidth val="75"/>
        <c:axId val="156513408"/>
        <c:axId val="156514944"/>
      </c:barChart>
      <c:catAx>
        <c:axId val="156513408"/>
        <c:scaling>
          <c:orientation val="minMax"/>
        </c:scaling>
        <c:delete val="fals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6514944"/>
        <c:crosses val="autoZero"/>
        <c:auto val="true"/>
        <c:lblAlgn val="ctr"/>
        <c:lblOffset val="100"/>
        <c:noMultiLvlLbl val="false"/>
      </c:catAx>
      <c:valAx>
        <c:axId val="156514944"/>
        <c:scaling>
          <c:orientation val="minMax"/>
        </c:scaling>
        <c:delete val="false"/>
        <c:axPos val="l"/>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6513408"/>
        <c:crosses val="autoZero"/>
        <c:crossBetween val="between"/>
      </c:valAx>
    </c:plotArea>
    <c:legend>
      <c:legendPos val="b"/>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10"/>
    </mc:Choice>
    <mc:Fallback>
      <c:style val="10"/>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2"/>
              <c:layout>
                <c:manualLayout>
                  <c:x val="-0.241697725284339"/>
                  <c:y val="0.181818181818182"/>
                </c:manualLayout>
              </c:layout>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Sheet1!$A$47:$A$49</c:f>
              <c:strCache>
                <c:ptCount val="3"/>
                <c:pt idx="0">
                  <c:v>科学技术类</c:v>
                </c:pt>
                <c:pt idx="1">
                  <c:v>卫生健康类</c:v>
                </c:pt>
                <c:pt idx="2">
                  <c:v>社会保障和就业类</c:v>
                </c:pt>
              </c:strCache>
            </c:strRef>
          </c:cat>
          <c:val>
            <c:numRef>
              <c:f>Sheet1!$B$47:$B$49</c:f>
              <c:numCache>
                <c:formatCode>General</c:formatCode>
                <c:ptCount val="3"/>
                <c:pt idx="0">
                  <c:v>0.4</c:v>
                </c:pt>
                <c:pt idx="1">
                  <c:v>3845.94</c:v>
                </c:pt>
                <c:pt idx="2">
                  <c:v>2.7</c:v>
                </c:pt>
              </c:numCache>
            </c:numRef>
          </c:val>
        </c:ser>
        <c:dLbls>
          <c:showLegendKey val="false"/>
          <c:showVal val="true"/>
          <c:showCatName val="true"/>
          <c:showSerName val="false"/>
          <c:showPercent val="false"/>
          <c:showBubbleSize val="false"/>
          <c:showLeaderLines val="true"/>
        </c:dLbls>
        <c:firstSliceAng val="0"/>
      </c:pieChart>
    </c:plotArea>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1288</Words>
  <Characters>7342</Characters>
  <Lines>61</Lines>
  <Paragraphs>17</Paragraphs>
  <TotalTime>225</TotalTime>
  <ScaleCrop>false</ScaleCrop>
  <LinksUpToDate>false</LinksUpToDate>
  <CharactersWithSpaces>8613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2021-08-14T07:01:00Z</dcterms:created>
  <dc:creator>Administrator</dc:creator>
  <cp:lastModifiedBy>＾笑颜＾</cp:lastModifiedBy>
  <cp:lastPrinted>2021-11-27T02:20:00Z</cp:lastPrinted>
  <dcterms:modified xsi:type="dcterms:W3CDTF">2023-09-22T11:46:06Z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37FFB12558144733BCD3F22F2AA1CC8D</vt:lpwstr>
  </property>
</Properties>
</file>