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jc w:val="center"/>
        <w:rPr>
          <w:rFonts w:eastAsia="方正小标宋简体"/>
          <w:sz w:val="44"/>
          <w:szCs w:val="44"/>
        </w:rPr>
      </w:pPr>
    </w:p>
    <w:p>
      <w:pPr>
        <w:widowControl w:val="0"/>
        <w:snapToGrid/>
        <w:spacing w:line="596" w:lineRule="exact"/>
        <w:jc w:val="center"/>
        <w:rPr>
          <w:rFonts w:ascii="方正小标宋_GBK" w:hAnsi="黑体" w:eastAsia="方正小标宋_GBK" w:cs="仿宋_GB2312"/>
          <w:sz w:val="44"/>
          <w:szCs w:val="44"/>
        </w:rPr>
      </w:pPr>
      <w:bookmarkStart w:id="54" w:name="_GoBack"/>
      <w:r>
        <w:rPr>
          <w:rFonts w:hint="eastAsia" w:ascii="方正小标宋_GBK" w:hAnsi="黑体" w:eastAsia="方正小标宋_GBK" w:cs="仿宋_GB2312"/>
          <w:sz w:val="44"/>
          <w:szCs w:val="44"/>
        </w:rPr>
        <w:t>成都市推进中医药传承创新发展</w:t>
      </w:r>
    </w:p>
    <w:p>
      <w:pPr>
        <w:widowControl w:val="0"/>
        <w:snapToGrid/>
        <w:spacing w:line="596" w:lineRule="exact"/>
        <w:jc w:val="center"/>
        <w:rPr>
          <w:rFonts w:ascii="方正小标宋_GBK" w:eastAsia="方正小标宋_GBK"/>
          <w:spacing w:val="-16"/>
          <w:sz w:val="44"/>
          <w:szCs w:val="44"/>
        </w:rPr>
      </w:pPr>
      <w:r>
        <w:rPr>
          <w:rFonts w:hint="eastAsia" w:ascii="方正小标宋_GBK" w:hAnsi="黑体" w:eastAsia="方正小标宋_GBK" w:cs="仿宋_GB2312"/>
          <w:sz w:val="44"/>
          <w:szCs w:val="44"/>
        </w:rPr>
        <w:t>专项工作组办公室</w:t>
      </w:r>
      <w:r>
        <w:rPr>
          <w:rFonts w:hint="eastAsia" w:ascii="方正小标宋_GBK" w:eastAsia="方正小标宋_GBK"/>
          <w:spacing w:val="-16"/>
          <w:sz w:val="44"/>
          <w:szCs w:val="44"/>
        </w:rPr>
        <w:t>关于印发《</w:t>
      </w:r>
      <w:r>
        <w:rPr>
          <w:rFonts w:hint="eastAsia" w:ascii="方正小标宋_GBK" w:eastAsia="方正小标宋_GBK"/>
          <w:sz w:val="44"/>
          <w:szCs w:val="44"/>
        </w:rPr>
        <w:t>成都市“十四五”中医药发展规划</w:t>
      </w:r>
      <w:r>
        <w:rPr>
          <w:rFonts w:hint="eastAsia" w:ascii="方正小标宋_GBK" w:eastAsia="方正小标宋_GBK"/>
          <w:spacing w:val="-16"/>
          <w:sz w:val="44"/>
          <w:szCs w:val="44"/>
        </w:rPr>
        <w:t>》的通知</w:t>
      </w:r>
    </w:p>
    <w:bookmarkEnd w:id="54"/>
    <w:p>
      <w:pPr>
        <w:overflowPunct w:val="0"/>
        <w:rPr>
          <w:szCs w:val="32"/>
        </w:rPr>
      </w:pPr>
    </w:p>
    <w:p>
      <w:pPr>
        <w:widowControl w:val="0"/>
        <w:overflowPunct w:val="0"/>
        <w:snapToGrid/>
        <w:rPr>
          <w:szCs w:val="32"/>
        </w:rPr>
      </w:pPr>
      <w:r>
        <w:rPr>
          <w:rFonts w:hint="eastAsia" w:cs="仿宋_GB2312"/>
          <w:szCs w:val="32"/>
        </w:rPr>
        <w:t>各区（市）县政府（管委会），成都市推进中医药传承创新发展专项工作组成员单位</w:t>
      </w:r>
      <w:r>
        <w:rPr>
          <w:szCs w:val="32"/>
        </w:rPr>
        <w:t>：</w:t>
      </w:r>
    </w:p>
    <w:p>
      <w:pPr>
        <w:widowControl w:val="0"/>
        <w:overflowPunct w:val="0"/>
        <w:snapToGrid/>
        <w:spacing w:line="580" w:lineRule="exact"/>
        <w:ind w:firstLine="640" w:firstLineChars="200"/>
        <w:rPr>
          <w:szCs w:val="32"/>
        </w:rPr>
      </w:pPr>
      <w:r>
        <w:rPr>
          <w:rFonts w:hint="eastAsia" w:cs="仿宋_GB2312"/>
          <w:szCs w:val="32"/>
        </w:rPr>
        <w:t>现将</w:t>
      </w:r>
      <w:r>
        <w:rPr>
          <w:szCs w:val="32"/>
        </w:rPr>
        <w:t>《</w:t>
      </w:r>
      <w:r>
        <w:rPr>
          <w:rFonts w:hint="eastAsia"/>
          <w:szCs w:val="32"/>
        </w:rPr>
        <w:t>成都市</w:t>
      </w:r>
      <w:r>
        <w:rPr>
          <w:szCs w:val="32"/>
        </w:rPr>
        <w:t>“十四五”中医药</w:t>
      </w:r>
      <w:r>
        <w:rPr>
          <w:rFonts w:hint="eastAsia"/>
          <w:szCs w:val="32"/>
        </w:rPr>
        <w:t>发展规划</w:t>
      </w:r>
      <w:r>
        <w:rPr>
          <w:szCs w:val="32"/>
        </w:rPr>
        <w:t>》印发</w:t>
      </w:r>
      <w:r>
        <w:rPr>
          <w:rFonts w:hint="eastAsia"/>
          <w:szCs w:val="32"/>
        </w:rPr>
        <w:t>给</w:t>
      </w:r>
      <w:r>
        <w:rPr>
          <w:szCs w:val="32"/>
        </w:rPr>
        <w:t>你们，请认真贯彻执行。</w:t>
      </w:r>
    </w:p>
    <w:p>
      <w:pPr>
        <w:widowControl w:val="0"/>
        <w:overflowPunct w:val="0"/>
        <w:snapToGrid/>
        <w:spacing w:line="580" w:lineRule="exact"/>
        <w:ind w:firstLine="640" w:firstLineChars="200"/>
        <w:rPr>
          <w:szCs w:val="32"/>
        </w:rPr>
      </w:pPr>
    </w:p>
    <w:p>
      <w:pPr>
        <w:widowControl w:val="0"/>
        <w:overflowPunct w:val="0"/>
        <w:snapToGrid/>
        <w:spacing w:line="580" w:lineRule="exact"/>
        <w:ind w:firstLine="640" w:firstLineChars="200"/>
        <w:rPr>
          <w:szCs w:val="32"/>
        </w:rPr>
      </w:pPr>
    </w:p>
    <w:p>
      <w:pPr>
        <w:widowControl w:val="0"/>
        <w:snapToGrid/>
        <w:spacing w:line="596" w:lineRule="exact"/>
        <w:jc w:val="center"/>
        <w:rPr>
          <w:szCs w:val="32"/>
        </w:rPr>
      </w:pPr>
      <w:r>
        <w:rPr>
          <w:rFonts w:hint="eastAsia"/>
          <w:szCs w:val="32"/>
        </w:rPr>
        <w:t xml:space="preserve">                 成都市推进中医药传承创新发展</w:t>
      </w:r>
    </w:p>
    <w:p>
      <w:pPr>
        <w:widowControl w:val="0"/>
        <w:snapToGrid/>
        <w:spacing w:line="596" w:lineRule="exact"/>
        <w:jc w:val="center"/>
        <w:rPr>
          <w:rFonts w:ascii="方正小标宋_GBK" w:hAnsi="黑体" w:eastAsia="方正小标宋_GBK" w:cstheme="minorBidi"/>
          <w:sz w:val="44"/>
          <w:szCs w:val="44"/>
        </w:rPr>
      </w:pPr>
      <w:r>
        <w:rPr>
          <w:rFonts w:hint="eastAsia"/>
          <w:szCs w:val="32"/>
        </w:rPr>
        <w:t xml:space="preserve">               </w:t>
      </w:r>
      <w:r>
        <w:rPr>
          <w:rFonts w:hint="eastAsia"/>
          <w:szCs w:val="32"/>
          <w:lang w:val="en-US" w:eastAsia="zh-CN"/>
        </w:rPr>
        <w:t xml:space="preserve">    </w:t>
      </w:r>
      <w:r>
        <w:rPr>
          <w:rFonts w:hint="eastAsia"/>
          <w:szCs w:val="32"/>
        </w:rPr>
        <w:t>专项工作组办公室</w:t>
      </w:r>
    </w:p>
    <w:p>
      <w:pPr>
        <w:widowControl w:val="0"/>
        <w:snapToGrid/>
        <w:spacing w:line="240" w:lineRule="auto"/>
        <w:jc w:val="center"/>
        <w:rPr>
          <w:rFonts w:ascii="仿宋" w:hAnsi="仿宋" w:eastAsia="仿宋" w:cstheme="minorBidi"/>
          <w:szCs w:val="32"/>
        </w:rPr>
      </w:pPr>
      <w:r>
        <w:rPr>
          <w:rFonts w:hint="eastAsia" w:ascii="仿宋" w:hAnsi="仿宋" w:eastAsia="仿宋" w:cs="仿宋"/>
          <w:szCs w:val="32"/>
        </w:rPr>
        <w:t xml:space="preserve">                   成都市卫生健康委员会</w:t>
      </w:r>
    </w:p>
    <w:p>
      <w:pPr>
        <w:widowControl w:val="0"/>
        <w:tabs>
          <w:tab w:val="left" w:pos="993"/>
        </w:tabs>
        <w:overflowPunct w:val="0"/>
        <w:adjustRightInd w:val="0"/>
        <w:ind w:right="640" w:firstLine="4480" w:firstLineChars="1400"/>
        <w:rPr>
          <w:rFonts w:eastAsia="黑体"/>
          <w:szCs w:val="32"/>
        </w:rPr>
      </w:pPr>
      <w:r>
        <w:rPr>
          <w:szCs w:val="32"/>
        </w:rPr>
        <w:t>20</w:t>
      </w:r>
      <w:r>
        <w:rPr>
          <w:rFonts w:hint="eastAsia"/>
          <w:szCs w:val="32"/>
        </w:rPr>
        <w:t>22</w:t>
      </w:r>
      <w:r>
        <w:rPr>
          <w:szCs w:val="32"/>
        </w:rPr>
        <w:t>年12月</w:t>
      </w:r>
      <w:r>
        <w:rPr>
          <w:rFonts w:hint="eastAsia"/>
          <w:szCs w:val="32"/>
        </w:rPr>
        <w:t>22</w:t>
      </w:r>
      <w:r>
        <w:rPr>
          <w:szCs w:val="32"/>
        </w:rPr>
        <w:t>日</w:t>
      </w:r>
      <w:r>
        <w:rPr>
          <w:rFonts w:eastAsia="黑体"/>
          <w:szCs w:val="32"/>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800" w:lineRule="exact"/>
        <w:jc w:val="center"/>
        <w:outlineLvl w:val="0"/>
        <w:rPr>
          <w:rFonts w:eastAsia="楷体_GB2312"/>
          <w:b/>
          <w:szCs w:val="32"/>
        </w:rPr>
      </w:pPr>
      <w:r>
        <w:rPr>
          <w:rFonts w:hint="eastAsia" w:ascii="华文中宋" w:hAnsi="华文中宋" w:eastAsia="华文中宋"/>
          <w:sz w:val="52"/>
          <w:szCs w:val="52"/>
        </w:rPr>
        <w:t>成都市</w:t>
      </w:r>
      <w:r>
        <w:rPr>
          <w:rFonts w:ascii="华文中宋" w:hAnsi="华文中宋" w:eastAsia="华文中宋"/>
          <w:sz w:val="52"/>
          <w:szCs w:val="52"/>
        </w:rPr>
        <w:t>“十四五”中医药</w:t>
      </w:r>
      <w:r>
        <w:rPr>
          <w:rFonts w:hint="eastAsia" w:ascii="华文中宋" w:hAnsi="华文中宋" w:eastAsia="华文中宋"/>
          <w:sz w:val="52"/>
          <w:szCs w:val="52"/>
        </w:rPr>
        <w:t>发展规划</w:t>
      </w:r>
    </w:p>
    <w:sdt>
      <w:sdtPr>
        <w:rPr>
          <w:rFonts w:eastAsia="宋体"/>
          <w:kern w:val="0"/>
          <w:sz w:val="21"/>
          <w:szCs w:val="20"/>
        </w:rPr>
        <w:id w:val="-483311031"/>
        <w:docPartObj>
          <w:docPartGallery w:val="Table of Contents"/>
          <w:docPartUnique/>
        </w:docPartObj>
      </w:sdtPr>
      <w:sdtEndPr>
        <w:rPr>
          <w:rFonts w:eastAsia="宋体"/>
          <w:kern w:val="0"/>
          <w:sz w:val="21"/>
          <w:szCs w:val="20"/>
        </w:rPr>
      </w:sdtEndPr>
      <w:sdtContent>
        <w:p>
          <w:pPr>
            <w:spacing w:line="240" w:lineRule="auto"/>
            <w:jc w:val="center"/>
            <w:rPr>
              <w:rFonts w:eastAsia="华文中宋"/>
              <w:sz w:val="44"/>
              <w:szCs w:val="44"/>
            </w:rPr>
          </w:pPr>
          <w:r>
            <w:rPr>
              <w:rFonts w:eastAsia="华文中宋"/>
              <w:sz w:val="44"/>
              <w:szCs w:val="44"/>
            </w:rPr>
            <w:t>目录</w:t>
          </w:r>
        </w:p>
        <w:p>
          <w:pPr>
            <w:pStyle w:val="34"/>
            <w:tabs>
              <w:tab w:val="right" w:leader="dot" w:pos="8306"/>
            </w:tabs>
            <w:rPr>
              <w:rFonts w:eastAsia="楷体_GB2312"/>
              <w:sz w:val="32"/>
              <w:szCs w:val="32"/>
            </w:rPr>
          </w:pPr>
          <w:r>
            <w:fldChar w:fldCharType="begin"/>
          </w:r>
          <w:r>
            <w:instrText xml:space="preserve"> HYPERLINK \l "_Toc23100_WPSOffice_Level1" </w:instrText>
          </w:r>
          <w:r>
            <w:fldChar w:fldCharType="separate"/>
          </w:r>
          <w:sdt>
            <w:sdtPr>
              <w:rPr>
                <w:rFonts w:eastAsia="黑体"/>
                <w:sz w:val="32"/>
                <w:szCs w:val="32"/>
              </w:rPr>
              <w:id w:val="147471149"/>
              <w:placeholder>
                <w:docPart w:val="4C94BF19E4F745CC81654E7834660095"/>
              </w:placeholder>
            </w:sdtPr>
            <w:sdtEndPr>
              <w:rPr>
                <w:rFonts w:eastAsia="楷体_GB2312"/>
                <w:b/>
                <w:bCs/>
                <w:kern w:val="2"/>
                <w:sz w:val="32"/>
                <w:szCs w:val="32"/>
              </w:rPr>
            </w:sdtEndPr>
            <w:sdtContent>
              <w:r>
                <w:rPr>
                  <w:rFonts w:eastAsia="黑体"/>
                  <w:sz w:val="32"/>
                  <w:szCs w:val="32"/>
                </w:rPr>
                <w:t>第一章  规划背景</w:t>
              </w:r>
            </w:sdtContent>
          </w:sdt>
          <w:r>
            <w:rPr>
              <w:rFonts w:eastAsia="楷体_GB2312"/>
              <w:b/>
              <w:bCs/>
              <w:sz w:val="32"/>
              <w:szCs w:val="32"/>
            </w:rPr>
            <w:tab/>
          </w:r>
          <w:bookmarkStart w:id="0" w:name="_Toc23100_WPSOffice_Level1Page"/>
          <w:r>
            <w:rPr>
              <w:rFonts w:eastAsia="楷体_GB2312"/>
              <w:b/>
              <w:bCs/>
              <w:sz w:val="32"/>
              <w:szCs w:val="32"/>
            </w:rPr>
            <w:t>1</w:t>
          </w:r>
          <w:bookmarkEnd w:id="0"/>
          <w:r>
            <w:rPr>
              <w:rFonts w:eastAsia="楷体_GB2312"/>
              <w:b/>
              <w:bCs/>
              <w:sz w:val="32"/>
              <w:szCs w:val="32"/>
            </w:rPr>
            <w:fldChar w:fldCharType="end"/>
          </w:r>
        </w:p>
        <w:p>
          <w:pPr>
            <w:pStyle w:val="35"/>
            <w:tabs>
              <w:tab w:val="right" w:leader="dot" w:pos="8306"/>
            </w:tabs>
            <w:ind w:left="640"/>
            <w:rPr>
              <w:rFonts w:eastAsia="楷体_GB2312"/>
              <w:sz w:val="32"/>
              <w:szCs w:val="32"/>
            </w:rPr>
          </w:pPr>
          <w:r>
            <w:fldChar w:fldCharType="begin"/>
          </w:r>
          <w:r>
            <w:instrText xml:space="preserve"> HYPERLINK \l "_Toc21973_WPSOffice_Level2" </w:instrText>
          </w:r>
          <w:r>
            <w:fldChar w:fldCharType="separate"/>
          </w:r>
          <w:sdt>
            <w:sdtPr>
              <w:rPr>
                <w:rFonts w:eastAsia="楷体_GB2312"/>
                <w:kern w:val="2"/>
                <w:sz w:val="32"/>
                <w:szCs w:val="32"/>
              </w:rPr>
              <w:id w:val="2058968811"/>
              <w:placeholder>
                <w:docPart w:val="41D7552B928F45B987154D70A6D5815D"/>
              </w:placeholder>
            </w:sdtPr>
            <w:sdtEndPr>
              <w:rPr>
                <w:rFonts w:eastAsia="楷体_GB2312"/>
                <w:kern w:val="2"/>
                <w:sz w:val="32"/>
                <w:szCs w:val="32"/>
              </w:rPr>
            </w:sdtEndPr>
            <w:sdtContent>
              <w:r>
                <w:rPr>
                  <w:rFonts w:eastAsia="楷体_GB2312"/>
                  <w:sz w:val="32"/>
                  <w:szCs w:val="32"/>
                </w:rPr>
                <w:t>第一节  发展基础</w:t>
              </w:r>
            </w:sdtContent>
          </w:sdt>
          <w:r>
            <w:rPr>
              <w:rFonts w:eastAsia="楷体_GB2312"/>
              <w:sz w:val="32"/>
              <w:szCs w:val="32"/>
            </w:rPr>
            <w:tab/>
          </w:r>
          <w:bookmarkStart w:id="1" w:name="_Toc21973_WPSOffice_Level2Page"/>
          <w:r>
            <w:rPr>
              <w:rFonts w:eastAsia="楷体_GB2312"/>
              <w:sz w:val="32"/>
              <w:szCs w:val="32"/>
            </w:rPr>
            <w:t>1</w:t>
          </w:r>
          <w:bookmarkEnd w:id="1"/>
          <w:r>
            <w:rPr>
              <w:rFonts w:eastAsia="楷体_GB2312"/>
              <w:sz w:val="32"/>
              <w:szCs w:val="32"/>
            </w:rPr>
            <w:fldChar w:fldCharType="end"/>
          </w:r>
        </w:p>
        <w:p>
          <w:pPr>
            <w:pStyle w:val="35"/>
            <w:tabs>
              <w:tab w:val="right" w:leader="dot" w:pos="8306"/>
            </w:tabs>
            <w:ind w:left="640"/>
            <w:rPr>
              <w:rFonts w:eastAsia="楷体_GB2312"/>
              <w:sz w:val="32"/>
              <w:szCs w:val="32"/>
            </w:rPr>
          </w:pPr>
          <w:r>
            <w:fldChar w:fldCharType="begin"/>
          </w:r>
          <w:r>
            <w:instrText xml:space="preserve"> HYPERLINK \l "_Toc12548_WPSOffice_Level2" </w:instrText>
          </w:r>
          <w:r>
            <w:fldChar w:fldCharType="separate"/>
          </w:r>
          <w:sdt>
            <w:sdtPr>
              <w:rPr>
                <w:rFonts w:eastAsia="楷体_GB2312"/>
                <w:kern w:val="2"/>
                <w:sz w:val="32"/>
                <w:szCs w:val="32"/>
              </w:rPr>
              <w:id w:val="-962423226"/>
              <w:placeholder>
                <w:docPart w:val="9AA83756C6D844FCAB63DE5EB3539A1D"/>
              </w:placeholder>
            </w:sdtPr>
            <w:sdtEndPr>
              <w:rPr>
                <w:rFonts w:eastAsia="楷体_GB2312"/>
                <w:kern w:val="2"/>
                <w:sz w:val="32"/>
                <w:szCs w:val="32"/>
              </w:rPr>
            </w:sdtEndPr>
            <w:sdtContent>
              <w:r>
                <w:rPr>
                  <w:rFonts w:eastAsia="楷体_GB2312"/>
                  <w:sz w:val="32"/>
                  <w:szCs w:val="32"/>
                </w:rPr>
                <w:t>第二节  机遇与挑战</w:t>
              </w:r>
            </w:sdtContent>
          </w:sdt>
          <w:r>
            <w:rPr>
              <w:rFonts w:eastAsia="楷体_GB2312"/>
              <w:sz w:val="32"/>
              <w:szCs w:val="32"/>
            </w:rPr>
            <w:tab/>
          </w:r>
          <w:bookmarkStart w:id="2" w:name="_Toc12548_WPSOffice_Level2Page"/>
          <w:r>
            <w:rPr>
              <w:rFonts w:eastAsia="楷体_GB2312"/>
              <w:sz w:val="32"/>
              <w:szCs w:val="32"/>
            </w:rPr>
            <w:t>4</w:t>
          </w:r>
          <w:bookmarkEnd w:id="2"/>
          <w:r>
            <w:rPr>
              <w:rFonts w:eastAsia="楷体_GB2312"/>
              <w:sz w:val="32"/>
              <w:szCs w:val="32"/>
            </w:rPr>
            <w:fldChar w:fldCharType="end"/>
          </w:r>
        </w:p>
        <w:p>
          <w:pPr>
            <w:pStyle w:val="34"/>
            <w:tabs>
              <w:tab w:val="right" w:leader="dot" w:pos="8306"/>
            </w:tabs>
            <w:rPr>
              <w:rFonts w:eastAsia="楷体_GB2312"/>
              <w:sz w:val="32"/>
              <w:szCs w:val="32"/>
            </w:rPr>
          </w:pPr>
          <w:r>
            <w:fldChar w:fldCharType="begin"/>
          </w:r>
          <w:r>
            <w:instrText xml:space="preserve"> HYPERLINK \l "_Toc21973_WPSOffice_Level1" </w:instrText>
          </w:r>
          <w:r>
            <w:fldChar w:fldCharType="separate"/>
          </w:r>
          <w:sdt>
            <w:sdtPr>
              <w:rPr>
                <w:rFonts w:eastAsia="黑体"/>
                <w:sz w:val="32"/>
                <w:szCs w:val="32"/>
              </w:rPr>
              <w:id w:val="1742221130"/>
              <w:placeholder>
                <w:docPart w:val="F729F1FC793E4157945D456E749A230F"/>
              </w:placeholder>
            </w:sdtPr>
            <w:sdtEndPr>
              <w:rPr>
                <w:rFonts w:eastAsia="楷体_GB2312"/>
                <w:b/>
                <w:bCs/>
                <w:kern w:val="2"/>
                <w:sz w:val="32"/>
                <w:szCs w:val="32"/>
              </w:rPr>
            </w:sdtEndPr>
            <w:sdtContent>
              <w:r>
                <w:rPr>
                  <w:rFonts w:eastAsia="黑体"/>
                  <w:sz w:val="32"/>
                  <w:szCs w:val="32"/>
                </w:rPr>
                <w:t>第二章  总体要求</w:t>
              </w:r>
            </w:sdtContent>
          </w:sdt>
          <w:r>
            <w:rPr>
              <w:rFonts w:eastAsia="楷体_GB2312"/>
              <w:b/>
              <w:bCs/>
              <w:sz w:val="32"/>
              <w:szCs w:val="32"/>
            </w:rPr>
            <w:tab/>
          </w:r>
          <w:r>
            <w:rPr>
              <w:rFonts w:hint="eastAsia" w:eastAsia="楷体_GB2312"/>
              <w:b/>
              <w:bCs/>
              <w:sz w:val="32"/>
              <w:szCs w:val="32"/>
            </w:rPr>
            <w:t>6</w:t>
          </w:r>
          <w:r>
            <w:rPr>
              <w:rFonts w:hint="eastAsia" w:eastAsia="楷体_GB2312"/>
              <w:b/>
              <w:bCs/>
              <w:sz w:val="32"/>
              <w:szCs w:val="32"/>
            </w:rPr>
            <w:fldChar w:fldCharType="end"/>
          </w:r>
        </w:p>
        <w:p>
          <w:pPr>
            <w:pStyle w:val="35"/>
            <w:tabs>
              <w:tab w:val="right" w:leader="dot" w:pos="8306"/>
            </w:tabs>
            <w:ind w:left="640"/>
            <w:rPr>
              <w:rFonts w:eastAsia="楷体_GB2312"/>
              <w:sz w:val="32"/>
              <w:szCs w:val="32"/>
            </w:rPr>
          </w:pPr>
          <w:r>
            <w:fldChar w:fldCharType="begin"/>
          </w:r>
          <w:r>
            <w:instrText xml:space="preserve"> HYPERLINK \l "_Toc31107_WPSOffice_Level2" </w:instrText>
          </w:r>
          <w:r>
            <w:fldChar w:fldCharType="separate"/>
          </w:r>
          <w:sdt>
            <w:sdtPr>
              <w:rPr>
                <w:rFonts w:eastAsia="楷体_GB2312"/>
                <w:kern w:val="2"/>
                <w:sz w:val="32"/>
                <w:szCs w:val="32"/>
              </w:rPr>
              <w:id w:val="-2144105665"/>
              <w:placeholder>
                <w:docPart w:val="228B469BF9BB47A2B73CD5D5F02E40E0"/>
              </w:placeholder>
            </w:sdtPr>
            <w:sdtEndPr>
              <w:rPr>
                <w:rFonts w:eastAsia="楷体_GB2312"/>
                <w:kern w:val="2"/>
                <w:sz w:val="32"/>
                <w:szCs w:val="32"/>
              </w:rPr>
            </w:sdtEndPr>
            <w:sdtContent>
              <w:r>
                <w:rPr>
                  <w:rFonts w:eastAsia="楷体_GB2312"/>
                  <w:sz w:val="32"/>
                  <w:szCs w:val="32"/>
                </w:rPr>
                <w:t xml:space="preserve">第一节 </w:t>
              </w:r>
              <w:r>
                <w:rPr>
                  <w:rFonts w:hint="eastAsia" w:eastAsia="楷体_GB2312"/>
                  <w:sz w:val="32"/>
                  <w:szCs w:val="32"/>
                </w:rPr>
                <w:t xml:space="preserve"> </w:t>
              </w:r>
              <w:r>
                <w:rPr>
                  <w:rFonts w:eastAsia="楷体_GB2312"/>
                  <w:sz w:val="32"/>
                  <w:szCs w:val="32"/>
                </w:rPr>
                <w:t>指导思想</w:t>
              </w:r>
            </w:sdtContent>
          </w:sdt>
          <w:r>
            <w:rPr>
              <w:rFonts w:eastAsia="楷体_GB2312"/>
              <w:sz w:val="32"/>
              <w:szCs w:val="32"/>
            </w:rPr>
            <w:tab/>
          </w:r>
          <w:r>
            <w:rPr>
              <w:rFonts w:hint="eastAsia" w:eastAsia="楷体_GB2312"/>
              <w:sz w:val="32"/>
              <w:szCs w:val="32"/>
            </w:rPr>
            <w:t>6</w:t>
          </w:r>
          <w:r>
            <w:rPr>
              <w:rFonts w:hint="eastAsia" w:eastAsia="楷体_GB2312"/>
              <w:sz w:val="32"/>
              <w:szCs w:val="32"/>
            </w:rPr>
            <w:fldChar w:fldCharType="end"/>
          </w:r>
        </w:p>
        <w:p>
          <w:pPr>
            <w:pStyle w:val="35"/>
            <w:tabs>
              <w:tab w:val="right" w:leader="dot" w:pos="8306"/>
            </w:tabs>
            <w:ind w:left="640"/>
            <w:rPr>
              <w:rFonts w:eastAsia="楷体_GB2312"/>
              <w:sz w:val="32"/>
              <w:szCs w:val="32"/>
            </w:rPr>
          </w:pPr>
          <w:r>
            <w:fldChar w:fldCharType="begin"/>
          </w:r>
          <w:r>
            <w:instrText xml:space="preserve"> HYPERLINK \l "_Toc10192_WPSOffice_Level2" </w:instrText>
          </w:r>
          <w:r>
            <w:fldChar w:fldCharType="separate"/>
          </w:r>
          <w:sdt>
            <w:sdtPr>
              <w:rPr>
                <w:rFonts w:eastAsia="楷体_GB2312"/>
                <w:kern w:val="2"/>
                <w:sz w:val="32"/>
                <w:szCs w:val="32"/>
              </w:rPr>
              <w:id w:val="1444964571"/>
              <w:placeholder>
                <w:docPart w:val="F2172A7220854630BD0AC6EA9497FB76"/>
              </w:placeholder>
            </w:sdtPr>
            <w:sdtEndPr>
              <w:rPr>
                <w:rFonts w:eastAsia="楷体_GB2312"/>
                <w:kern w:val="2"/>
                <w:sz w:val="32"/>
                <w:szCs w:val="32"/>
              </w:rPr>
            </w:sdtEndPr>
            <w:sdtContent>
              <w:r>
                <w:rPr>
                  <w:rFonts w:eastAsia="楷体_GB2312"/>
                  <w:sz w:val="32"/>
                  <w:szCs w:val="32"/>
                </w:rPr>
                <w:t>第二节  基本原则</w:t>
              </w:r>
            </w:sdtContent>
          </w:sdt>
          <w:r>
            <w:rPr>
              <w:rFonts w:eastAsia="楷体_GB2312"/>
              <w:sz w:val="32"/>
              <w:szCs w:val="32"/>
            </w:rPr>
            <w:tab/>
          </w:r>
          <w:r>
            <w:rPr>
              <w:rFonts w:eastAsia="楷体_GB2312"/>
              <w:sz w:val="32"/>
              <w:szCs w:val="32"/>
            </w:rPr>
            <w:t>6</w:t>
          </w:r>
          <w:r>
            <w:rPr>
              <w:rFonts w:eastAsia="楷体_GB2312"/>
              <w:sz w:val="32"/>
              <w:szCs w:val="32"/>
            </w:rPr>
            <w:fldChar w:fldCharType="end"/>
          </w:r>
        </w:p>
        <w:p>
          <w:pPr>
            <w:pStyle w:val="35"/>
            <w:tabs>
              <w:tab w:val="right" w:leader="dot" w:pos="8306"/>
            </w:tabs>
            <w:ind w:left="640"/>
            <w:rPr>
              <w:rFonts w:eastAsia="楷体_GB2312"/>
              <w:sz w:val="32"/>
              <w:szCs w:val="32"/>
            </w:rPr>
          </w:pPr>
          <w:r>
            <w:fldChar w:fldCharType="begin"/>
          </w:r>
          <w:r>
            <w:instrText xml:space="preserve"> HYPERLINK \l "_Toc956_WPSOffice_Level2" </w:instrText>
          </w:r>
          <w:r>
            <w:fldChar w:fldCharType="separate"/>
          </w:r>
          <w:sdt>
            <w:sdtPr>
              <w:rPr>
                <w:rFonts w:eastAsia="楷体_GB2312"/>
                <w:kern w:val="2"/>
                <w:sz w:val="32"/>
                <w:szCs w:val="32"/>
              </w:rPr>
              <w:id w:val="-209341780"/>
              <w:placeholder>
                <w:docPart w:val="78FA242954A147C98D4301FAECFC22B4"/>
              </w:placeholder>
            </w:sdtPr>
            <w:sdtEndPr>
              <w:rPr>
                <w:rFonts w:eastAsia="楷体_GB2312"/>
                <w:kern w:val="2"/>
                <w:sz w:val="32"/>
                <w:szCs w:val="32"/>
              </w:rPr>
            </w:sdtEndPr>
            <w:sdtContent>
              <w:r>
                <w:rPr>
                  <w:rFonts w:eastAsia="楷体_GB2312"/>
                  <w:sz w:val="32"/>
                  <w:szCs w:val="32"/>
                </w:rPr>
                <w:t>第三节  发展目标</w:t>
              </w:r>
            </w:sdtContent>
          </w:sdt>
          <w:r>
            <w:rPr>
              <w:rFonts w:eastAsia="楷体_GB2312"/>
              <w:sz w:val="32"/>
              <w:szCs w:val="32"/>
            </w:rPr>
            <w:tab/>
          </w:r>
          <w:r>
            <w:rPr>
              <w:rFonts w:eastAsia="楷体_GB2312"/>
              <w:sz w:val="32"/>
              <w:szCs w:val="32"/>
            </w:rPr>
            <w:t>7</w:t>
          </w:r>
          <w:r>
            <w:rPr>
              <w:rFonts w:eastAsia="楷体_GB2312"/>
              <w:sz w:val="32"/>
              <w:szCs w:val="32"/>
            </w:rPr>
            <w:fldChar w:fldCharType="end"/>
          </w:r>
        </w:p>
        <w:p>
          <w:pPr>
            <w:pStyle w:val="34"/>
            <w:tabs>
              <w:tab w:val="right" w:leader="dot" w:pos="8306"/>
            </w:tabs>
            <w:rPr>
              <w:rFonts w:eastAsia="楷体_GB2312"/>
              <w:sz w:val="32"/>
              <w:szCs w:val="32"/>
            </w:rPr>
          </w:pPr>
          <w:r>
            <w:fldChar w:fldCharType="begin"/>
          </w:r>
          <w:r>
            <w:instrText xml:space="preserve"> HYPERLINK \l "_Toc12548_WPSOffice_Level1" </w:instrText>
          </w:r>
          <w:r>
            <w:fldChar w:fldCharType="separate"/>
          </w:r>
          <w:sdt>
            <w:sdtPr>
              <w:rPr>
                <w:rFonts w:eastAsia="黑体"/>
                <w:sz w:val="32"/>
                <w:szCs w:val="32"/>
              </w:rPr>
              <w:id w:val="-931965399"/>
              <w:placeholder>
                <w:docPart w:val="96D9D0D886D84B3D8611020006963417"/>
              </w:placeholder>
            </w:sdtPr>
            <w:sdtEndPr>
              <w:rPr>
                <w:rFonts w:eastAsia="楷体_GB2312"/>
                <w:b/>
                <w:bCs/>
                <w:kern w:val="2"/>
                <w:sz w:val="32"/>
                <w:szCs w:val="32"/>
              </w:rPr>
            </w:sdtEndPr>
            <w:sdtContent>
              <w:r>
                <w:rPr>
                  <w:rFonts w:eastAsia="黑体"/>
                  <w:sz w:val="32"/>
                  <w:szCs w:val="32"/>
                </w:rPr>
                <w:t>第三章  全面提升中医药服务能力</w:t>
              </w:r>
            </w:sdtContent>
          </w:sdt>
          <w:r>
            <w:rPr>
              <w:rFonts w:eastAsia="楷体_GB2312"/>
              <w:b/>
              <w:bCs/>
              <w:sz w:val="32"/>
              <w:szCs w:val="32"/>
            </w:rPr>
            <w:tab/>
          </w:r>
          <w:r>
            <w:rPr>
              <w:rFonts w:hint="eastAsia" w:eastAsia="楷体_GB2312"/>
              <w:b/>
              <w:bCs/>
              <w:sz w:val="32"/>
              <w:szCs w:val="32"/>
            </w:rPr>
            <w:t>11</w:t>
          </w:r>
          <w:r>
            <w:rPr>
              <w:rFonts w:hint="eastAsia" w:eastAsia="楷体_GB2312"/>
              <w:b/>
              <w:bCs/>
              <w:sz w:val="32"/>
              <w:szCs w:val="32"/>
            </w:rPr>
            <w:fldChar w:fldCharType="end"/>
          </w:r>
        </w:p>
        <w:p>
          <w:pPr>
            <w:pStyle w:val="35"/>
            <w:tabs>
              <w:tab w:val="right" w:leader="dot" w:pos="8306"/>
            </w:tabs>
            <w:ind w:left="640"/>
            <w:rPr>
              <w:rFonts w:eastAsia="楷体_GB2312"/>
              <w:sz w:val="32"/>
              <w:szCs w:val="32"/>
            </w:rPr>
          </w:pPr>
          <w:r>
            <w:fldChar w:fldCharType="begin"/>
          </w:r>
          <w:r>
            <w:instrText xml:space="preserve"> HYPERLINK \l "_Toc241_WPSOffice_Level2" </w:instrText>
          </w:r>
          <w:r>
            <w:fldChar w:fldCharType="separate"/>
          </w:r>
          <w:sdt>
            <w:sdtPr>
              <w:rPr>
                <w:rFonts w:eastAsia="楷体_GB2312"/>
                <w:kern w:val="2"/>
                <w:sz w:val="32"/>
                <w:szCs w:val="32"/>
              </w:rPr>
              <w:id w:val="-1174565908"/>
              <w:placeholder>
                <w:docPart w:val="968D3FBE421341B7B46D36D3953429E7"/>
              </w:placeholder>
            </w:sdtPr>
            <w:sdtEndPr>
              <w:rPr>
                <w:rFonts w:eastAsia="楷体_GB2312"/>
                <w:kern w:val="2"/>
                <w:sz w:val="32"/>
                <w:szCs w:val="32"/>
              </w:rPr>
            </w:sdtEndPr>
            <w:sdtContent>
              <w:r>
                <w:rPr>
                  <w:rFonts w:eastAsia="楷体_GB2312"/>
                  <w:sz w:val="32"/>
                  <w:szCs w:val="32"/>
                </w:rPr>
                <w:t>第一节  加快构建优质中医药服务体系</w:t>
              </w:r>
            </w:sdtContent>
          </w:sdt>
          <w:r>
            <w:rPr>
              <w:rFonts w:eastAsia="楷体_GB2312"/>
              <w:sz w:val="32"/>
              <w:szCs w:val="32"/>
            </w:rPr>
            <w:tab/>
          </w:r>
          <w:r>
            <w:rPr>
              <w:rFonts w:hint="eastAsia" w:eastAsia="楷体_GB2312"/>
              <w:sz w:val="32"/>
              <w:szCs w:val="32"/>
            </w:rPr>
            <w:t>11</w:t>
          </w:r>
          <w:r>
            <w:rPr>
              <w:rFonts w:hint="eastAsia" w:eastAsia="楷体_GB2312"/>
              <w:sz w:val="32"/>
              <w:szCs w:val="32"/>
            </w:rPr>
            <w:fldChar w:fldCharType="end"/>
          </w:r>
        </w:p>
        <w:p>
          <w:pPr>
            <w:pStyle w:val="35"/>
            <w:tabs>
              <w:tab w:val="right" w:leader="dot" w:pos="8306"/>
            </w:tabs>
            <w:ind w:left="640"/>
            <w:rPr>
              <w:rFonts w:eastAsia="楷体_GB2312"/>
              <w:sz w:val="32"/>
              <w:szCs w:val="32"/>
            </w:rPr>
          </w:pPr>
          <w:r>
            <w:fldChar w:fldCharType="begin"/>
          </w:r>
          <w:r>
            <w:instrText xml:space="preserve"> HYPERLINK \l "_Toc17945_WPSOffice_Level2" </w:instrText>
          </w:r>
          <w:r>
            <w:fldChar w:fldCharType="separate"/>
          </w:r>
          <w:sdt>
            <w:sdtPr>
              <w:rPr>
                <w:rFonts w:eastAsia="楷体_GB2312"/>
                <w:kern w:val="2"/>
                <w:sz w:val="32"/>
                <w:szCs w:val="32"/>
              </w:rPr>
              <w:id w:val="1280535402"/>
              <w:placeholder>
                <w:docPart w:val="A04C744AE37F43308FAA922F55A4F9BC"/>
              </w:placeholder>
            </w:sdtPr>
            <w:sdtEndPr>
              <w:rPr>
                <w:rFonts w:eastAsia="楷体_GB2312"/>
                <w:kern w:val="2"/>
                <w:sz w:val="32"/>
                <w:szCs w:val="32"/>
              </w:rPr>
            </w:sdtEndPr>
            <w:sdtContent>
              <w:r>
                <w:rPr>
                  <w:rFonts w:eastAsia="楷体_GB2312"/>
                  <w:sz w:val="32"/>
                  <w:szCs w:val="32"/>
                </w:rPr>
                <w:t>第二节  发挥中医药特色优势</w:t>
              </w:r>
            </w:sdtContent>
          </w:sdt>
          <w:r>
            <w:rPr>
              <w:rFonts w:eastAsia="楷体_GB2312"/>
              <w:sz w:val="32"/>
              <w:szCs w:val="32"/>
            </w:rPr>
            <w:tab/>
          </w:r>
          <w:bookmarkStart w:id="3" w:name="_Toc17945_WPSOffice_Level2Page"/>
          <w:r>
            <w:rPr>
              <w:rFonts w:eastAsia="楷体_GB2312"/>
              <w:sz w:val="32"/>
              <w:szCs w:val="32"/>
            </w:rPr>
            <w:t>1</w:t>
          </w:r>
          <w:bookmarkEnd w:id="3"/>
          <w:r>
            <w:rPr>
              <w:rFonts w:hint="eastAsia" w:eastAsia="楷体_GB2312"/>
              <w:sz w:val="32"/>
              <w:szCs w:val="32"/>
            </w:rPr>
            <w:t>3</w:t>
          </w:r>
          <w:r>
            <w:rPr>
              <w:rFonts w:hint="eastAsia" w:eastAsia="楷体_GB2312"/>
              <w:sz w:val="32"/>
              <w:szCs w:val="32"/>
            </w:rPr>
            <w:fldChar w:fldCharType="end"/>
          </w:r>
        </w:p>
        <w:p>
          <w:pPr>
            <w:pStyle w:val="35"/>
            <w:tabs>
              <w:tab w:val="right" w:leader="dot" w:pos="8306"/>
            </w:tabs>
            <w:ind w:left="640"/>
            <w:rPr>
              <w:rFonts w:eastAsia="楷体_GB2312"/>
              <w:sz w:val="32"/>
              <w:szCs w:val="32"/>
            </w:rPr>
          </w:pPr>
          <w:r>
            <w:fldChar w:fldCharType="begin"/>
          </w:r>
          <w:r>
            <w:instrText xml:space="preserve"> HYPERLINK \l "_Toc12603_WPSOffice_Level2" </w:instrText>
          </w:r>
          <w:r>
            <w:fldChar w:fldCharType="separate"/>
          </w:r>
          <w:sdt>
            <w:sdtPr>
              <w:rPr>
                <w:rFonts w:eastAsia="楷体_GB2312"/>
                <w:kern w:val="2"/>
                <w:sz w:val="32"/>
                <w:szCs w:val="32"/>
              </w:rPr>
              <w:id w:val="439023492"/>
              <w:placeholder>
                <w:docPart w:val="E513CCBAFA4149648F61BC5DCC39B08F"/>
              </w:placeholder>
            </w:sdtPr>
            <w:sdtEndPr>
              <w:rPr>
                <w:rFonts w:eastAsia="楷体_GB2312"/>
                <w:kern w:val="2"/>
                <w:sz w:val="32"/>
                <w:szCs w:val="32"/>
              </w:rPr>
            </w:sdtEndPr>
            <w:sdtContent>
              <w:r>
                <w:rPr>
                  <w:rFonts w:eastAsia="楷体_GB2312"/>
                  <w:sz w:val="32"/>
                  <w:szCs w:val="32"/>
                </w:rPr>
                <w:t>第三节  完善中西医结合机制</w:t>
              </w:r>
            </w:sdtContent>
          </w:sdt>
          <w:r>
            <w:rPr>
              <w:rFonts w:eastAsia="楷体_GB2312"/>
              <w:sz w:val="32"/>
              <w:szCs w:val="32"/>
            </w:rPr>
            <w:tab/>
          </w:r>
          <w:bookmarkStart w:id="4" w:name="_Toc12603_WPSOffice_Level2Page"/>
          <w:r>
            <w:rPr>
              <w:rFonts w:eastAsia="楷体_GB2312"/>
              <w:sz w:val="32"/>
              <w:szCs w:val="32"/>
            </w:rPr>
            <w:t>1</w:t>
          </w:r>
          <w:bookmarkEnd w:id="4"/>
          <w:r>
            <w:rPr>
              <w:rFonts w:eastAsia="楷体_GB2312"/>
              <w:sz w:val="32"/>
              <w:szCs w:val="32"/>
            </w:rPr>
            <w:fldChar w:fldCharType="end"/>
          </w:r>
          <w:r>
            <w:rPr>
              <w:rFonts w:hint="eastAsia" w:eastAsia="楷体_GB2312"/>
              <w:sz w:val="32"/>
              <w:szCs w:val="32"/>
            </w:rPr>
            <w:t>5</w:t>
          </w:r>
        </w:p>
        <w:p>
          <w:pPr>
            <w:pStyle w:val="35"/>
            <w:tabs>
              <w:tab w:val="right" w:leader="dot" w:pos="8306"/>
            </w:tabs>
            <w:ind w:left="640"/>
            <w:rPr>
              <w:rFonts w:eastAsia="楷体_GB2312"/>
              <w:sz w:val="32"/>
              <w:szCs w:val="32"/>
            </w:rPr>
          </w:pPr>
          <w:r>
            <w:fldChar w:fldCharType="begin"/>
          </w:r>
          <w:r>
            <w:instrText xml:space="preserve"> HYPERLINK \l "_Toc11576_WPSOffice_Level2" </w:instrText>
          </w:r>
          <w:r>
            <w:fldChar w:fldCharType="separate"/>
          </w:r>
          <w:sdt>
            <w:sdtPr>
              <w:rPr>
                <w:rFonts w:eastAsia="楷体_GB2312"/>
                <w:kern w:val="2"/>
                <w:sz w:val="32"/>
                <w:szCs w:val="32"/>
              </w:rPr>
              <w:id w:val="-299539760"/>
              <w:placeholder>
                <w:docPart w:val="CA953A6B125E48C2AA2EE41AB0831C61"/>
              </w:placeholder>
            </w:sdtPr>
            <w:sdtEndPr>
              <w:rPr>
                <w:rFonts w:eastAsia="楷体_GB2312"/>
                <w:kern w:val="2"/>
                <w:sz w:val="32"/>
                <w:szCs w:val="32"/>
              </w:rPr>
            </w:sdtEndPr>
            <w:sdtContent>
              <w:r>
                <w:rPr>
                  <w:rFonts w:eastAsia="楷体_GB2312"/>
                  <w:sz w:val="32"/>
                  <w:szCs w:val="32"/>
                </w:rPr>
                <w:t>第四节  提升中医药应对突发公共事件能力</w:t>
              </w:r>
            </w:sdtContent>
          </w:sdt>
          <w:r>
            <w:rPr>
              <w:rFonts w:eastAsia="楷体_GB2312"/>
              <w:sz w:val="32"/>
              <w:szCs w:val="32"/>
            </w:rPr>
            <w:tab/>
          </w:r>
          <w:bookmarkStart w:id="5" w:name="_Toc11576_WPSOffice_Level2Page"/>
          <w:r>
            <w:rPr>
              <w:rFonts w:eastAsia="楷体_GB2312"/>
              <w:sz w:val="32"/>
              <w:szCs w:val="32"/>
            </w:rPr>
            <w:t>1</w:t>
          </w:r>
          <w:bookmarkEnd w:id="5"/>
          <w:r>
            <w:rPr>
              <w:rFonts w:hint="eastAsia" w:eastAsia="楷体_GB2312"/>
              <w:sz w:val="32"/>
              <w:szCs w:val="32"/>
            </w:rPr>
            <w:t>6</w:t>
          </w:r>
          <w:r>
            <w:rPr>
              <w:rFonts w:hint="eastAsia" w:eastAsia="楷体_GB2312"/>
              <w:sz w:val="32"/>
              <w:szCs w:val="32"/>
            </w:rPr>
            <w:fldChar w:fldCharType="end"/>
          </w:r>
        </w:p>
        <w:p>
          <w:pPr>
            <w:pStyle w:val="34"/>
            <w:tabs>
              <w:tab w:val="right" w:leader="dot" w:pos="8306"/>
            </w:tabs>
            <w:rPr>
              <w:rFonts w:eastAsia="楷体_GB2312"/>
              <w:sz w:val="32"/>
              <w:szCs w:val="32"/>
            </w:rPr>
          </w:pPr>
          <w:r>
            <w:fldChar w:fldCharType="begin"/>
          </w:r>
          <w:r>
            <w:instrText xml:space="preserve"> HYPERLINK \l "_Toc31107_WPSOffice_Level1" </w:instrText>
          </w:r>
          <w:r>
            <w:fldChar w:fldCharType="separate"/>
          </w:r>
          <w:sdt>
            <w:sdtPr>
              <w:rPr>
                <w:rFonts w:eastAsia="黑体"/>
                <w:sz w:val="32"/>
                <w:szCs w:val="32"/>
              </w:rPr>
              <w:id w:val="749168059"/>
              <w:placeholder>
                <w:docPart w:val="2E2BB97A306B4B13B4AB88FE60346C0B"/>
              </w:placeholder>
            </w:sdtPr>
            <w:sdtEndPr>
              <w:rPr>
                <w:rFonts w:eastAsia="楷体_GB2312"/>
                <w:b/>
                <w:bCs/>
                <w:kern w:val="2"/>
                <w:sz w:val="32"/>
                <w:szCs w:val="32"/>
              </w:rPr>
            </w:sdtEndPr>
            <w:sdtContent>
              <w:r>
                <w:rPr>
                  <w:rFonts w:eastAsia="黑体"/>
                  <w:sz w:val="32"/>
                  <w:szCs w:val="32"/>
                </w:rPr>
                <w:t>第四章  推进中医药产业高质量发展</w:t>
              </w:r>
            </w:sdtContent>
          </w:sdt>
          <w:r>
            <w:rPr>
              <w:rFonts w:eastAsia="楷体_GB2312"/>
              <w:b/>
              <w:bCs/>
              <w:sz w:val="32"/>
              <w:szCs w:val="32"/>
            </w:rPr>
            <w:tab/>
          </w:r>
          <w:r>
            <w:rPr>
              <w:rFonts w:hint="eastAsia" w:eastAsia="楷体_GB2312"/>
              <w:b/>
              <w:bCs/>
              <w:sz w:val="32"/>
              <w:szCs w:val="32"/>
            </w:rPr>
            <w:t>18</w:t>
          </w:r>
          <w:r>
            <w:rPr>
              <w:rFonts w:hint="eastAsia" w:eastAsia="楷体_GB2312"/>
              <w:b/>
              <w:bCs/>
              <w:sz w:val="32"/>
              <w:szCs w:val="32"/>
            </w:rPr>
            <w:fldChar w:fldCharType="end"/>
          </w:r>
        </w:p>
        <w:p>
          <w:pPr>
            <w:pStyle w:val="35"/>
            <w:tabs>
              <w:tab w:val="right" w:leader="dot" w:pos="8306"/>
            </w:tabs>
            <w:ind w:left="640"/>
            <w:rPr>
              <w:rFonts w:eastAsia="楷体_GB2312"/>
              <w:sz w:val="32"/>
              <w:szCs w:val="32"/>
            </w:rPr>
          </w:pPr>
          <w:r>
            <w:fldChar w:fldCharType="begin"/>
          </w:r>
          <w:r>
            <w:instrText xml:space="preserve"> HYPERLINK \l "_Toc31109_WPSOffice_Level2" </w:instrText>
          </w:r>
          <w:r>
            <w:fldChar w:fldCharType="separate"/>
          </w:r>
          <w:sdt>
            <w:sdtPr>
              <w:rPr>
                <w:rFonts w:eastAsia="楷体_GB2312"/>
                <w:kern w:val="2"/>
                <w:sz w:val="32"/>
                <w:szCs w:val="32"/>
              </w:rPr>
              <w:id w:val="791130"/>
              <w:placeholder>
                <w:docPart w:val="4B0DD9A8421849FDBDC511E4D73A029D"/>
              </w:placeholder>
            </w:sdtPr>
            <w:sdtEndPr>
              <w:rPr>
                <w:rFonts w:eastAsia="楷体_GB2312"/>
                <w:kern w:val="2"/>
                <w:sz w:val="32"/>
                <w:szCs w:val="32"/>
              </w:rPr>
            </w:sdtEndPr>
            <w:sdtContent>
              <w:r>
                <w:rPr>
                  <w:rFonts w:eastAsia="楷体_GB2312"/>
                  <w:sz w:val="32"/>
                  <w:szCs w:val="32"/>
                </w:rPr>
                <w:t>第一节  推动中药材</w:t>
              </w:r>
              <w:r>
                <w:rPr>
                  <w:rFonts w:hint="eastAsia" w:eastAsia="楷体_GB2312"/>
                  <w:sz w:val="32"/>
                  <w:szCs w:val="32"/>
                </w:rPr>
                <w:t>种植</w:t>
              </w:r>
              <w:r>
                <w:rPr>
                  <w:rFonts w:eastAsia="楷体_GB2312"/>
                  <w:sz w:val="32"/>
                  <w:szCs w:val="32"/>
                </w:rPr>
                <w:t>业规范</w:t>
              </w:r>
              <w:r>
                <w:rPr>
                  <w:rFonts w:hint="eastAsia" w:eastAsia="楷体_GB2312"/>
                  <w:sz w:val="32"/>
                  <w:szCs w:val="32"/>
                </w:rPr>
                <w:t>化</w:t>
              </w:r>
              <w:r>
                <w:rPr>
                  <w:rFonts w:eastAsia="楷体_GB2312"/>
                  <w:sz w:val="32"/>
                  <w:szCs w:val="32"/>
                </w:rPr>
                <w:t>发展</w:t>
              </w:r>
            </w:sdtContent>
          </w:sdt>
          <w:r>
            <w:rPr>
              <w:rFonts w:eastAsia="楷体_GB2312"/>
              <w:sz w:val="32"/>
              <w:szCs w:val="32"/>
            </w:rPr>
            <w:tab/>
          </w:r>
          <w:r>
            <w:rPr>
              <w:rFonts w:hint="eastAsia" w:eastAsia="楷体_GB2312"/>
              <w:sz w:val="32"/>
              <w:szCs w:val="32"/>
            </w:rPr>
            <w:t>18</w:t>
          </w:r>
          <w:r>
            <w:rPr>
              <w:rFonts w:hint="eastAsia" w:eastAsia="楷体_GB2312"/>
              <w:sz w:val="32"/>
              <w:szCs w:val="32"/>
            </w:rPr>
            <w:fldChar w:fldCharType="end"/>
          </w:r>
        </w:p>
        <w:p>
          <w:pPr>
            <w:pStyle w:val="35"/>
            <w:tabs>
              <w:tab w:val="right" w:leader="dot" w:pos="8306"/>
            </w:tabs>
            <w:ind w:left="640"/>
            <w:rPr>
              <w:rFonts w:eastAsia="楷体_GB2312"/>
              <w:sz w:val="32"/>
              <w:szCs w:val="32"/>
            </w:rPr>
          </w:pPr>
          <w:r>
            <w:fldChar w:fldCharType="begin"/>
          </w:r>
          <w:r>
            <w:instrText xml:space="preserve"> HYPERLINK \l "_Toc10876_WPSOffice_Level2" </w:instrText>
          </w:r>
          <w:r>
            <w:fldChar w:fldCharType="separate"/>
          </w:r>
          <w:sdt>
            <w:sdtPr>
              <w:rPr>
                <w:rFonts w:eastAsia="楷体_GB2312"/>
                <w:kern w:val="2"/>
                <w:sz w:val="32"/>
                <w:szCs w:val="32"/>
              </w:rPr>
              <w:id w:val="1400713152"/>
              <w:placeholder>
                <w:docPart w:val="4C1CC8DBD44B4A239DA550C817733586"/>
              </w:placeholder>
            </w:sdtPr>
            <w:sdtEndPr>
              <w:rPr>
                <w:rFonts w:eastAsia="楷体_GB2312"/>
                <w:kern w:val="2"/>
                <w:sz w:val="32"/>
                <w:szCs w:val="32"/>
              </w:rPr>
            </w:sdtEndPr>
            <w:sdtContent>
              <w:r>
                <w:rPr>
                  <w:rFonts w:eastAsia="楷体_GB2312"/>
                  <w:sz w:val="32"/>
                  <w:szCs w:val="32"/>
                </w:rPr>
                <w:t>第二节  推动中药</w:t>
              </w:r>
              <w:r>
                <w:rPr>
                  <w:rFonts w:hint="eastAsia" w:eastAsia="楷体_GB2312"/>
                  <w:sz w:val="32"/>
                  <w:szCs w:val="32"/>
                </w:rPr>
                <w:t>生产加工</w:t>
              </w:r>
              <w:r>
                <w:rPr>
                  <w:rFonts w:eastAsia="楷体_GB2312"/>
                  <w:sz w:val="32"/>
                  <w:szCs w:val="32"/>
                </w:rPr>
                <w:t>能力提质增速</w:t>
              </w:r>
            </w:sdtContent>
          </w:sdt>
          <w:r>
            <w:rPr>
              <w:rFonts w:eastAsia="楷体_GB2312"/>
              <w:sz w:val="32"/>
              <w:szCs w:val="32"/>
            </w:rPr>
            <w:tab/>
          </w:r>
          <w:bookmarkStart w:id="6" w:name="_Toc10876_WPSOffice_Level2Page"/>
          <w:r>
            <w:rPr>
              <w:rFonts w:eastAsia="楷体_GB2312"/>
              <w:sz w:val="32"/>
              <w:szCs w:val="32"/>
            </w:rPr>
            <w:t>1</w:t>
          </w:r>
          <w:bookmarkEnd w:id="6"/>
          <w:r>
            <w:rPr>
              <w:rFonts w:hint="eastAsia" w:eastAsia="楷体_GB2312"/>
              <w:sz w:val="32"/>
              <w:szCs w:val="32"/>
            </w:rPr>
            <w:t>8</w:t>
          </w:r>
          <w:r>
            <w:rPr>
              <w:rFonts w:hint="eastAsia" w:eastAsia="楷体_GB2312"/>
              <w:sz w:val="32"/>
              <w:szCs w:val="32"/>
            </w:rPr>
            <w:fldChar w:fldCharType="end"/>
          </w:r>
        </w:p>
        <w:p>
          <w:pPr>
            <w:pStyle w:val="35"/>
            <w:tabs>
              <w:tab w:val="right" w:leader="dot" w:pos="8306"/>
            </w:tabs>
            <w:ind w:left="640"/>
            <w:rPr>
              <w:rFonts w:eastAsia="楷体_GB2312"/>
              <w:sz w:val="32"/>
              <w:szCs w:val="32"/>
            </w:rPr>
          </w:pPr>
          <w:r>
            <w:fldChar w:fldCharType="begin"/>
          </w:r>
          <w:r>
            <w:instrText xml:space="preserve"> HYPERLINK \l "_Toc4588_WPSOffice_Level2" </w:instrText>
          </w:r>
          <w:r>
            <w:fldChar w:fldCharType="separate"/>
          </w:r>
          <w:sdt>
            <w:sdtPr>
              <w:rPr>
                <w:rFonts w:eastAsia="楷体_GB2312"/>
                <w:kern w:val="2"/>
                <w:sz w:val="32"/>
                <w:szCs w:val="32"/>
              </w:rPr>
              <w:id w:val="879906115"/>
              <w:placeholder>
                <w:docPart w:val="5192D2A1E49A4E2085BFD42CCA105FB1"/>
              </w:placeholder>
            </w:sdtPr>
            <w:sdtEndPr>
              <w:rPr>
                <w:rFonts w:eastAsia="楷体_GB2312"/>
                <w:kern w:val="2"/>
                <w:sz w:val="32"/>
                <w:szCs w:val="32"/>
              </w:rPr>
            </w:sdtEndPr>
            <w:sdtContent>
              <w:r>
                <w:rPr>
                  <w:rFonts w:eastAsia="楷体_GB2312"/>
                  <w:sz w:val="32"/>
                  <w:szCs w:val="32"/>
                </w:rPr>
                <w:t>第三节  发展中医药健康服务业</w:t>
              </w:r>
            </w:sdtContent>
          </w:sdt>
          <w:r>
            <w:rPr>
              <w:rFonts w:eastAsia="楷体_GB2312"/>
              <w:sz w:val="32"/>
              <w:szCs w:val="32"/>
            </w:rPr>
            <w:tab/>
          </w:r>
          <w:bookmarkStart w:id="7" w:name="_Toc4588_WPSOffice_Level2Page"/>
          <w:r>
            <w:rPr>
              <w:rFonts w:eastAsia="楷体_GB2312"/>
              <w:sz w:val="32"/>
              <w:szCs w:val="32"/>
            </w:rPr>
            <w:t>1</w:t>
          </w:r>
          <w:bookmarkEnd w:id="7"/>
          <w:r>
            <w:rPr>
              <w:rFonts w:hint="eastAsia" w:eastAsia="楷体_GB2312"/>
              <w:sz w:val="32"/>
              <w:szCs w:val="32"/>
            </w:rPr>
            <w:t>9</w:t>
          </w:r>
          <w:r>
            <w:rPr>
              <w:rFonts w:hint="eastAsia" w:eastAsia="楷体_GB2312"/>
              <w:sz w:val="32"/>
              <w:szCs w:val="32"/>
            </w:rPr>
            <w:fldChar w:fldCharType="end"/>
          </w:r>
        </w:p>
        <w:p>
          <w:pPr>
            <w:pStyle w:val="34"/>
            <w:tabs>
              <w:tab w:val="right" w:leader="dot" w:pos="8306"/>
            </w:tabs>
            <w:rPr>
              <w:rFonts w:eastAsia="楷体_GB2312"/>
              <w:sz w:val="32"/>
              <w:szCs w:val="32"/>
            </w:rPr>
          </w:pPr>
          <w:r>
            <w:fldChar w:fldCharType="begin"/>
          </w:r>
          <w:r>
            <w:instrText xml:space="preserve"> HYPERLINK \l "_Toc10192_WPSOffice_Level1" </w:instrText>
          </w:r>
          <w:r>
            <w:fldChar w:fldCharType="separate"/>
          </w:r>
          <w:sdt>
            <w:sdtPr>
              <w:rPr>
                <w:rFonts w:eastAsia="楷体_GB2312"/>
                <w:b/>
                <w:bCs/>
                <w:kern w:val="2"/>
                <w:sz w:val="32"/>
                <w:szCs w:val="32"/>
              </w:rPr>
              <w:id w:val="1709222214"/>
              <w:placeholder>
                <w:docPart w:val="865551EE8894442B9D773CBFAB70A9D0"/>
              </w:placeholder>
            </w:sdtPr>
            <w:sdtEndPr>
              <w:rPr>
                <w:rFonts w:eastAsia="黑体"/>
                <w:b w:val="0"/>
                <w:bCs w:val="0"/>
                <w:kern w:val="2"/>
                <w:sz w:val="32"/>
                <w:szCs w:val="32"/>
              </w:rPr>
            </w:sdtEndPr>
            <w:sdtContent>
              <w:r>
                <w:rPr>
                  <w:rFonts w:eastAsia="黑体"/>
                  <w:sz w:val="32"/>
                  <w:szCs w:val="32"/>
                </w:rPr>
                <w:t>第五章  推进中医药传承与创新发展</w:t>
              </w:r>
            </w:sdtContent>
          </w:sdt>
          <w:r>
            <w:rPr>
              <w:rFonts w:eastAsia="楷体_GB2312"/>
              <w:b/>
              <w:bCs/>
              <w:sz w:val="32"/>
              <w:szCs w:val="32"/>
            </w:rPr>
            <w:tab/>
          </w:r>
          <w:r>
            <w:rPr>
              <w:rFonts w:hint="eastAsia" w:eastAsia="楷体_GB2312"/>
              <w:b/>
              <w:bCs/>
              <w:sz w:val="32"/>
              <w:szCs w:val="32"/>
            </w:rPr>
            <w:t>21</w:t>
          </w:r>
          <w:r>
            <w:rPr>
              <w:rFonts w:hint="eastAsia" w:eastAsia="楷体_GB2312"/>
              <w:b/>
              <w:bCs/>
              <w:sz w:val="32"/>
              <w:szCs w:val="32"/>
            </w:rPr>
            <w:fldChar w:fldCharType="end"/>
          </w:r>
        </w:p>
        <w:p>
          <w:pPr>
            <w:pStyle w:val="35"/>
            <w:tabs>
              <w:tab w:val="right" w:leader="dot" w:pos="8306"/>
            </w:tabs>
            <w:ind w:left="640"/>
            <w:rPr>
              <w:rFonts w:eastAsia="楷体_GB2312"/>
              <w:sz w:val="32"/>
              <w:szCs w:val="32"/>
            </w:rPr>
          </w:pPr>
          <w:r>
            <w:fldChar w:fldCharType="begin"/>
          </w:r>
          <w:r>
            <w:instrText xml:space="preserve"> HYPERLINK \l "_Toc30925_WPSOffice_Level2" </w:instrText>
          </w:r>
          <w:r>
            <w:fldChar w:fldCharType="separate"/>
          </w:r>
          <w:sdt>
            <w:sdtPr>
              <w:rPr>
                <w:rFonts w:eastAsia="楷体_GB2312"/>
                <w:kern w:val="2"/>
                <w:sz w:val="32"/>
                <w:szCs w:val="32"/>
              </w:rPr>
              <w:id w:val="1430692432"/>
            </w:sdtPr>
            <w:sdtEndPr>
              <w:rPr>
                <w:rFonts w:eastAsia="楷体_GB2312"/>
                <w:kern w:val="2"/>
                <w:sz w:val="32"/>
                <w:szCs w:val="32"/>
              </w:rPr>
            </w:sdtEndPr>
            <w:sdtContent>
              <w:r>
                <w:rPr>
                  <w:rFonts w:eastAsia="楷体_GB2312"/>
                  <w:sz w:val="32"/>
                  <w:szCs w:val="32"/>
                </w:rPr>
                <w:t>第一节  传承弘扬中医药文化</w:t>
              </w:r>
            </w:sdtContent>
          </w:sdt>
          <w:r>
            <w:rPr>
              <w:rFonts w:eastAsia="楷体_GB2312"/>
              <w:sz w:val="32"/>
              <w:szCs w:val="32"/>
            </w:rPr>
            <w:tab/>
          </w:r>
          <w:r>
            <w:rPr>
              <w:rFonts w:hint="eastAsia" w:eastAsia="楷体_GB2312"/>
              <w:sz w:val="32"/>
              <w:szCs w:val="32"/>
            </w:rPr>
            <w:t>21</w:t>
          </w:r>
          <w:r>
            <w:rPr>
              <w:rFonts w:hint="eastAsia" w:eastAsia="楷体_GB2312"/>
              <w:sz w:val="32"/>
              <w:szCs w:val="32"/>
            </w:rPr>
            <w:fldChar w:fldCharType="end"/>
          </w:r>
        </w:p>
        <w:p>
          <w:pPr>
            <w:pStyle w:val="35"/>
            <w:tabs>
              <w:tab w:val="right" w:leader="dot" w:pos="8306"/>
            </w:tabs>
            <w:ind w:left="640"/>
            <w:rPr>
              <w:rFonts w:eastAsia="楷体_GB2312"/>
              <w:sz w:val="32"/>
              <w:szCs w:val="32"/>
            </w:rPr>
          </w:pPr>
          <w:r>
            <w:fldChar w:fldCharType="begin"/>
          </w:r>
          <w:r>
            <w:instrText xml:space="preserve"> HYPERLINK \l "_Toc2060_WPSOffice_Level2" </w:instrText>
          </w:r>
          <w:r>
            <w:fldChar w:fldCharType="separate"/>
          </w:r>
          <w:sdt>
            <w:sdtPr>
              <w:rPr>
                <w:rFonts w:eastAsia="楷体_GB2312"/>
                <w:kern w:val="2"/>
                <w:sz w:val="32"/>
                <w:szCs w:val="32"/>
              </w:rPr>
              <w:id w:val="1268886720"/>
            </w:sdtPr>
            <w:sdtEndPr>
              <w:rPr>
                <w:rFonts w:eastAsia="楷体_GB2312"/>
                <w:kern w:val="2"/>
                <w:sz w:val="32"/>
                <w:szCs w:val="32"/>
              </w:rPr>
            </w:sdtEndPr>
            <w:sdtContent>
              <w:r>
                <w:rPr>
                  <w:rFonts w:eastAsia="楷体_GB2312"/>
                  <w:sz w:val="32"/>
                  <w:szCs w:val="32"/>
                </w:rPr>
                <w:t>第二节  推进中医药科技创新</w:t>
              </w:r>
            </w:sdtContent>
          </w:sdt>
          <w:r>
            <w:rPr>
              <w:rFonts w:eastAsia="楷体_GB2312"/>
              <w:sz w:val="32"/>
              <w:szCs w:val="32"/>
            </w:rPr>
            <w:tab/>
          </w:r>
          <w:bookmarkStart w:id="8" w:name="_Toc2060_WPSOffice_Level2Page"/>
          <w:r>
            <w:rPr>
              <w:rFonts w:eastAsia="楷体_GB2312"/>
              <w:sz w:val="32"/>
              <w:szCs w:val="32"/>
            </w:rPr>
            <w:t>2</w:t>
          </w:r>
          <w:bookmarkEnd w:id="8"/>
          <w:r>
            <w:rPr>
              <w:rFonts w:hint="eastAsia" w:eastAsia="楷体_GB2312"/>
              <w:sz w:val="32"/>
              <w:szCs w:val="32"/>
            </w:rPr>
            <w:t>3</w:t>
          </w:r>
          <w:r>
            <w:rPr>
              <w:rFonts w:hint="eastAsia" w:eastAsia="楷体_GB2312"/>
              <w:sz w:val="32"/>
              <w:szCs w:val="32"/>
            </w:rPr>
            <w:fldChar w:fldCharType="end"/>
          </w:r>
        </w:p>
        <w:p>
          <w:pPr>
            <w:pStyle w:val="35"/>
            <w:tabs>
              <w:tab w:val="right" w:leader="dot" w:pos="8306"/>
            </w:tabs>
            <w:ind w:left="640"/>
            <w:rPr>
              <w:rFonts w:eastAsia="楷体_GB2312"/>
              <w:sz w:val="32"/>
              <w:szCs w:val="32"/>
            </w:rPr>
          </w:pPr>
          <w:r>
            <w:fldChar w:fldCharType="begin"/>
          </w:r>
          <w:r>
            <w:instrText xml:space="preserve"> HYPERLINK \l "_Toc31840_WPSOffice_Level2" </w:instrText>
          </w:r>
          <w:r>
            <w:fldChar w:fldCharType="separate"/>
          </w:r>
          <w:sdt>
            <w:sdtPr>
              <w:rPr>
                <w:rFonts w:eastAsia="楷体_GB2312"/>
                <w:kern w:val="2"/>
                <w:sz w:val="32"/>
                <w:szCs w:val="32"/>
              </w:rPr>
              <w:id w:val="-1291507572"/>
            </w:sdtPr>
            <w:sdtEndPr>
              <w:rPr>
                <w:rFonts w:eastAsia="楷体_GB2312"/>
                <w:kern w:val="2"/>
                <w:sz w:val="32"/>
                <w:szCs w:val="32"/>
              </w:rPr>
            </w:sdtEndPr>
            <w:sdtContent>
              <w:r>
                <w:rPr>
                  <w:rFonts w:eastAsia="楷体_GB2312"/>
                  <w:sz w:val="32"/>
                  <w:szCs w:val="32"/>
                </w:rPr>
                <w:t>第三节  推动中医药开放发展</w:t>
              </w:r>
            </w:sdtContent>
          </w:sdt>
          <w:r>
            <w:rPr>
              <w:rFonts w:eastAsia="楷体_GB2312"/>
              <w:sz w:val="32"/>
              <w:szCs w:val="32"/>
            </w:rPr>
            <w:tab/>
          </w:r>
          <w:bookmarkStart w:id="9" w:name="_Toc31840_WPSOffice_Level2Page"/>
          <w:r>
            <w:rPr>
              <w:rFonts w:eastAsia="楷体_GB2312"/>
              <w:sz w:val="32"/>
              <w:szCs w:val="32"/>
            </w:rPr>
            <w:t>2</w:t>
          </w:r>
          <w:bookmarkEnd w:id="9"/>
          <w:r>
            <w:rPr>
              <w:rFonts w:hint="eastAsia" w:eastAsia="楷体_GB2312"/>
              <w:sz w:val="32"/>
              <w:szCs w:val="32"/>
            </w:rPr>
            <w:t>3</w:t>
          </w:r>
          <w:r>
            <w:rPr>
              <w:rFonts w:hint="eastAsia" w:eastAsia="楷体_GB2312"/>
              <w:sz w:val="32"/>
              <w:szCs w:val="32"/>
            </w:rPr>
            <w:fldChar w:fldCharType="end"/>
          </w:r>
        </w:p>
        <w:p>
          <w:pPr>
            <w:pStyle w:val="34"/>
            <w:tabs>
              <w:tab w:val="right" w:leader="dot" w:pos="8306"/>
            </w:tabs>
            <w:rPr>
              <w:rFonts w:eastAsia="楷体_GB2312"/>
              <w:sz w:val="32"/>
              <w:szCs w:val="32"/>
            </w:rPr>
          </w:pPr>
          <w:r>
            <w:fldChar w:fldCharType="begin"/>
          </w:r>
          <w:r>
            <w:instrText xml:space="preserve"> HYPERLINK \l "_Toc956_WPSOffice_Level1" </w:instrText>
          </w:r>
          <w:r>
            <w:fldChar w:fldCharType="separate"/>
          </w:r>
          <w:sdt>
            <w:sdtPr>
              <w:rPr>
                <w:rFonts w:eastAsia="楷体_GB2312"/>
                <w:b/>
                <w:bCs/>
                <w:kern w:val="2"/>
                <w:sz w:val="32"/>
                <w:szCs w:val="32"/>
              </w:rPr>
              <w:id w:val="-637331341"/>
            </w:sdtPr>
            <w:sdtEndPr>
              <w:rPr>
                <w:rFonts w:eastAsia="黑体"/>
                <w:b w:val="0"/>
                <w:bCs w:val="0"/>
                <w:kern w:val="2"/>
                <w:sz w:val="32"/>
                <w:szCs w:val="32"/>
              </w:rPr>
            </w:sdtEndPr>
            <w:sdtContent>
              <w:r>
                <w:rPr>
                  <w:rFonts w:eastAsia="黑体"/>
                  <w:sz w:val="32"/>
                  <w:szCs w:val="32"/>
                </w:rPr>
                <w:t>第六章  夯实中医药发展基础</w:t>
              </w:r>
            </w:sdtContent>
          </w:sdt>
          <w:r>
            <w:rPr>
              <w:rFonts w:eastAsia="楷体_GB2312"/>
              <w:b/>
              <w:bCs/>
              <w:sz w:val="32"/>
              <w:szCs w:val="32"/>
            </w:rPr>
            <w:tab/>
          </w:r>
          <w:r>
            <w:rPr>
              <w:rFonts w:hint="eastAsia" w:eastAsia="楷体_GB2312"/>
              <w:b/>
              <w:bCs/>
              <w:sz w:val="32"/>
              <w:szCs w:val="32"/>
            </w:rPr>
            <w:t>25</w:t>
          </w:r>
          <w:r>
            <w:rPr>
              <w:rFonts w:hint="eastAsia" w:eastAsia="楷体_GB2312"/>
              <w:b/>
              <w:bCs/>
              <w:sz w:val="32"/>
              <w:szCs w:val="32"/>
            </w:rPr>
            <w:fldChar w:fldCharType="end"/>
          </w:r>
        </w:p>
        <w:p>
          <w:pPr>
            <w:pStyle w:val="35"/>
            <w:tabs>
              <w:tab w:val="right" w:leader="dot" w:pos="8306"/>
            </w:tabs>
            <w:ind w:left="640"/>
            <w:rPr>
              <w:rFonts w:eastAsia="楷体_GB2312"/>
              <w:sz w:val="32"/>
              <w:szCs w:val="32"/>
            </w:rPr>
          </w:pPr>
          <w:r>
            <w:fldChar w:fldCharType="begin"/>
          </w:r>
          <w:r>
            <w:instrText xml:space="preserve"> HYPERLINK \l "_Toc12321_WPSOffice_Level2" </w:instrText>
          </w:r>
          <w:r>
            <w:fldChar w:fldCharType="separate"/>
          </w:r>
          <w:sdt>
            <w:sdtPr>
              <w:rPr>
                <w:rFonts w:eastAsia="楷体_GB2312"/>
                <w:kern w:val="2"/>
                <w:sz w:val="32"/>
                <w:szCs w:val="32"/>
              </w:rPr>
              <w:id w:val="1071549172"/>
            </w:sdtPr>
            <w:sdtEndPr>
              <w:rPr>
                <w:rFonts w:eastAsia="楷体_GB2312"/>
                <w:kern w:val="2"/>
                <w:sz w:val="32"/>
                <w:szCs w:val="32"/>
              </w:rPr>
            </w:sdtEndPr>
            <w:sdtContent>
              <w:r>
                <w:rPr>
                  <w:rFonts w:eastAsia="楷体_GB2312"/>
                  <w:sz w:val="32"/>
                  <w:szCs w:val="32"/>
                </w:rPr>
                <w:t>第一节  加强中医药人才队伍建设</w:t>
              </w:r>
            </w:sdtContent>
          </w:sdt>
          <w:r>
            <w:rPr>
              <w:rFonts w:eastAsia="楷体_GB2312"/>
              <w:sz w:val="32"/>
              <w:szCs w:val="32"/>
            </w:rPr>
            <w:tab/>
          </w:r>
          <w:r>
            <w:rPr>
              <w:rFonts w:hint="eastAsia" w:eastAsia="楷体_GB2312"/>
              <w:sz w:val="32"/>
              <w:szCs w:val="32"/>
            </w:rPr>
            <w:t>25</w:t>
          </w:r>
          <w:r>
            <w:rPr>
              <w:rFonts w:hint="eastAsia" w:eastAsia="楷体_GB2312"/>
              <w:sz w:val="32"/>
              <w:szCs w:val="32"/>
            </w:rPr>
            <w:fldChar w:fldCharType="end"/>
          </w:r>
        </w:p>
        <w:p>
          <w:pPr>
            <w:pStyle w:val="35"/>
            <w:tabs>
              <w:tab w:val="right" w:leader="dot" w:pos="8306"/>
            </w:tabs>
            <w:ind w:left="640"/>
            <w:rPr>
              <w:rFonts w:eastAsia="楷体_GB2312"/>
              <w:sz w:val="32"/>
              <w:szCs w:val="32"/>
            </w:rPr>
          </w:pPr>
          <w:r>
            <w:fldChar w:fldCharType="begin"/>
          </w:r>
          <w:r>
            <w:instrText xml:space="preserve"> HYPERLINK \l "_Toc15831_WPSOffice_Level2" </w:instrText>
          </w:r>
          <w:r>
            <w:fldChar w:fldCharType="separate"/>
          </w:r>
          <w:sdt>
            <w:sdtPr>
              <w:rPr>
                <w:rFonts w:eastAsia="楷体_GB2312"/>
                <w:kern w:val="2"/>
                <w:sz w:val="32"/>
                <w:szCs w:val="32"/>
              </w:rPr>
              <w:id w:val="-27032750"/>
            </w:sdtPr>
            <w:sdtEndPr>
              <w:rPr>
                <w:rFonts w:eastAsia="楷体_GB2312"/>
                <w:kern w:val="2"/>
                <w:sz w:val="32"/>
                <w:szCs w:val="32"/>
              </w:rPr>
            </w:sdtEndPr>
            <w:sdtContent>
              <w:r>
                <w:rPr>
                  <w:rFonts w:eastAsia="楷体_GB2312"/>
                  <w:sz w:val="32"/>
                  <w:szCs w:val="32"/>
                </w:rPr>
                <w:t>第二节  推进中医药信息化建设</w:t>
              </w:r>
            </w:sdtContent>
          </w:sdt>
          <w:r>
            <w:rPr>
              <w:rFonts w:eastAsia="楷体_GB2312"/>
              <w:sz w:val="32"/>
              <w:szCs w:val="32"/>
            </w:rPr>
            <w:tab/>
          </w:r>
          <w:r>
            <w:rPr>
              <w:rFonts w:hint="eastAsia" w:eastAsia="楷体_GB2312"/>
              <w:sz w:val="32"/>
              <w:szCs w:val="32"/>
            </w:rPr>
            <w:t>27</w:t>
          </w:r>
          <w:r>
            <w:rPr>
              <w:rFonts w:hint="eastAsia" w:eastAsia="楷体_GB2312"/>
              <w:sz w:val="32"/>
              <w:szCs w:val="32"/>
            </w:rPr>
            <w:fldChar w:fldCharType="end"/>
          </w:r>
        </w:p>
        <w:p>
          <w:pPr>
            <w:pStyle w:val="35"/>
            <w:tabs>
              <w:tab w:val="right" w:leader="dot" w:pos="8306"/>
            </w:tabs>
            <w:ind w:left="640"/>
            <w:rPr>
              <w:rFonts w:eastAsia="楷体_GB2312"/>
              <w:sz w:val="32"/>
              <w:szCs w:val="32"/>
            </w:rPr>
          </w:pPr>
          <w:r>
            <w:fldChar w:fldCharType="begin"/>
          </w:r>
          <w:r>
            <w:instrText xml:space="preserve"> HYPERLINK \l "_Toc18489_WPSOffice_Level2" </w:instrText>
          </w:r>
          <w:r>
            <w:fldChar w:fldCharType="separate"/>
          </w:r>
          <w:sdt>
            <w:sdtPr>
              <w:rPr>
                <w:rFonts w:eastAsia="楷体_GB2312"/>
                <w:kern w:val="2"/>
                <w:sz w:val="32"/>
                <w:szCs w:val="32"/>
              </w:rPr>
              <w:id w:val="879366802"/>
            </w:sdtPr>
            <w:sdtEndPr>
              <w:rPr>
                <w:rFonts w:eastAsia="楷体_GB2312"/>
                <w:kern w:val="2"/>
                <w:sz w:val="32"/>
                <w:szCs w:val="32"/>
              </w:rPr>
            </w:sdtEndPr>
            <w:sdtContent>
              <w:r>
                <w:rPr>
                  <w:rFonts w:eastAsia="楷体_GB2312"/>
                  <w:sz w:val="32"/>
                  <w:szCs w:val="32"/>
                </w:rPr>
                <w:t>第三节  优化中医药发展环境</w:t>
              </w:r>
            </w:sdtContent>
          </w:sdt>
          <w:r>
            <w:rPr>
              <w:rFonts w:eastAsia="楷体_GB2312"/>
              <w:sz w:val="32"/>
              <w:szCs w:val="32"/>
            </w:rPr>
            <w:tab/>
          </w:r>
          <w:r>
            <w:rPr>
              <w:rFonts w:hint="eastAsia" w:eastAsia="楷体_GB2312"/>
              <w:sz w:val="32"/>
              <w:szCs w:val="32"/>
            </w:rPr>
            <w:t>28</w:t>
          </w:r>
          <w:r>
            <w:rPr>
              <w:rFonts w:hint="eastAsia" w:eastAsia="楷体_GB2312"/>
              <w:sz w:val="32"/>
              <w:szCs w:val="32"/>
            </w:rPr>
            <w:fldChar w:fldCharType="end"/>
          </w:r>
        </w:p>
        <w:p>
          <w:pPr>
            <w:pStyle w:val="34"/>
            <w:tabs>
              <w:tab w:val="right" w:leader="dot" w:pos="8306"/>
            </w:tabs>
            <w:rPr>
              <w:rFonts w:eastAsia="黑体"/>
              <w:sz w:val="32"/>
              <w:szCs w:val="32"/>
            </w:rPr>
          </w:pPr>
          <w:r>
            <w:fldChar w:fldCharType="begin"/>
          </w:r>
          <w:r>
            <w:instrText xml:space="preserve"> HYPERLINK \l "_Toc241_WPSOffice_Level1" </w:instrText>
          </w:r>
          <w:r>
            <w:fldChar w:fldCharType="separate"/>
          </w:r>
          <w:sdt>
            <w:sdtPr>
              <w:rPr>
                <w:rFonts w:eastAsia="黑体"/>
                <w:kern w:val="2"/>
                <w:sz w:val="32"/>
                <w:szCs w:val="32"/>
              </w:rPr>
              <w:id w:val="-1485300786"/>
            </w:sdtPr>
            <w:sdtEndPr>
              <w:rPr>
                <w:rFonts w:eastAsia="黑体"/>
                <w:kern w:val="2"/>
                <w:sz w:val="32"/>
                <w:szCs w:val="32"/>
              </w:rPr>
            </w:sdtEndPr>
            <w:sdtContent>
              <w:r>
                <w:rPr>
                  <w:rFonts w:eastAsia="黑体"/>
                  <w:sz w:val="32"/>
                  <w:szCs w:val="32"/>
                </w:rPr>
                <w:t>第七章  保障措施</w:t>
              </w:r>
            </w:sdtContent>
          </w:sdt>
          <w:r>
            <w:rPr>
              <w:rFonts w:eastAsia="黑体"/>
              <w:sz w:val="32"/>
              <w:szCs w:val="32"/>
            </w:rPr>
            <w:tab/>
          </w:r>
          <w:r>
            <w:rPr>
              <w:rFonts w:hint="eastAsia" w:eastAsia="黑体"/>
              <w:sz w:val="32"/>
              <w:szCs w:val="32"/>
            </w:rPr>
            <w:t>29</w:t>
          </w:r>
          <w:r>
            <w:rPr>
              <w:rFonts w:hint="eastAsia" w:eastAsia="黑体"/>
              <w:sz w:val="32"/>
              <w:szCs w:val="32"/>
            </w:rPr>
            <w:fldChar w:fldCharType="end"/>
          </w:r>
        </w:p>
        <w:p>
          <w:pPr>
            <w:pStyle w:val="35"/>
            <w:tabs>
              <w:tab w:val="right" w:leader="dot" w:pos="8306"/>
            </w:tabs>
            <w:ind w:left="640"/>
            <w:rPr>
              <w:rFonts w:eastAsia="楷体_GB2312"/>
              <w:sz w:val="32"/>
              <w:szCs w:val="32"/>
            </w:rPr>
          </w:pPr>
          <w:r>
            <w:fldChar w:fldCharType="begin"/>
          </w:r>
          <w:r>
            <w:instrText xml:space="preserve"> HYPERLINK \l "_Toc17202_WPSOffice_Level2" </w:instrText>
          </w:r>
          <w:r>
            <w:fldChar w:fldCharType="separate"/>
          </w:r>
          <w:sdt>
            <w:sdtPr>
              <w:rPr>
                <w:rFonts w:eastAsia="楷体_GB2312"/>
                <w:kern w:val="2"/>
                <w:sz w:val="32"/>
                <w:szCs w:val="32"/>
              </w:rPr>
              <w:id w:val="27303644"/>
            </w:sdtPr>
            <w:sdtEndPr>
              <w:rPr>
                <w:rFonts w:eastAsia="楷体_GB2312"/>
                <w:kern w:val="2"/>
                <w:sz w:val="32"/>
                <w:szCs w:val="32"/>
              </w:rPr>
            </w:sdtEndPr>
            <w:sdtContent>
              <w:r>
                <w:rPr>
                  <w:rFonts w:eastAsia="楷体_GB2312"/>
                  <w:sz w:val="32"/>
                  <w:szCs w:val="32"/>
                </w:rPr>
                <w:t xml:space="preserve">第一节 </w:t>
              </w:r>
              <w:r>
                <w:rPr>
                  <w:rFonts w:hint="eastAsia" w:eastAsia="楷体_GB2312"/>
                  <w:sz w:val="32"/>
                  <w:szCs w:val="32"/>
                </w:rPr>
                <w:t xml:space="preserve"> </w:t>
              </w:r>
              <w:r>
                <w:rPr>
                  <w:rFonts w:eastAsia="楷体_GB2312"/>
                  <w:sz w:val="32"/>
                  <w:szCs w:val="32"/>
                </w:rPr>
                <w:t>加强领导，落实责任</w:t>
              </w:r>
            </w:sdtContent>
          </w:sdt>
          <w:r>
            <w:rPr>
              <w:rFonts w:eastAsia="楷体_GB2312"/>
              <w:sz w:val="32"/>
              <w:szCs w:val="32"/>
            </w:rPr>
            <w:tab/>
          </w:r>
          <w:bookmarkStart w:id="10" w:name="_Toc17202_WPSOffice_Level2Page"/>
          <w:r>
            <w:rPr>
              <w:rFonts w:eastAsia="楷体_GB2312"/>
              <w:sz w:val="32"/>
              <w:szCs w:val="32"/>
            </w:rPr>
            <w:t>2</w:t>
          </w:r>
          <w:bookmarkEnd w:id="10"/>
          <w:r>
            <w:rPr>
              <w:rFonts w:hint="eastAsia" w:eastAsia="楷体_GB2312"/>
              <w:sz w:val="32"/>
              <w:szCs w:val="32"/>
            </w:rPr>
            <w:t>9</w:t>
          </w:r>
          <w:r>
            <w:rPr>
              <w:rFonts w:hint="eastAsia" w:eastAsia="楷体_GB2312"/>
              <w:sz w:val="32"/>
              <w:szCs w:val="32"/>
            </w:rPr>
            <w:fldChar w:fldCharType="end"/>
          </w:r>
        </w:p>
        <w:p>
          <w:pPr>
            <w:pStyle w:val="35"/>
            <w:tabs>
              <w:tab w:val="right" w:leader="dot" w:pos="8306"/>
            </w:tabs>
            <w:ind w:left="640"/>
            <w:rPr>
              <w:rFonts w:eastAsia="楷体_GB2312"/>
              <w:sz w:val="32"/>
              <w:szCs w:val="32"/>
            </w:rPr>
          </w:pPr>
          <w:r>
            <w:fldChar w:fldCharType="begin"/>
          </w:r>
          <w:r>
            <w:instrText xml:space="preserve"> HYPERLINK \l "_Toc9687_WPSOffice_Level2" </w:instrText>
          </w:r>
          <w:r>
            <w:fldChar w:fldCharType="separate"/>
          </w:r>
          <w:sdt>
            <w:sdtPr>
              <w:rPr>
                <w:rFonts w:eastAsia="楷体_GB2312"/>
                <w:kern w:val="2"/>
                <w:sz w:val="32"/>
                <w:szCs w:val="32"/>
              </w:rPr>
              <w:id w:val="-1252967794"/>
            </w:sdtPr>
            <w:sdtEndPr>
              <w:rPr>
                <w:rFonts w:eastAsia="楷体_GB2312"/>
                <w:kern w:val="2"/>
                <w:sz w:val="32"/>
                <w:szCs w:val="32"/>
              </w:rPr>
            </w:sdtEndPr>
            <w:sdtContent>
              <w:r>
                <w:rPr>
                  <w:rFonts w:eastAsia="楷体_GB2312"/>
                  <w:sz w:val="32"/>
                  <w:szCs w:val="32"/>
                </w:rPr>
                <w:t>第二节</w:t>
              </w:r>
              <w:r>
                <w:rPr>
                  <w:rFonts w:hint="eastAsia" w:eastAsia="楷体_GB2312"/>
                  <w:sz w:val="32"/>
                  <w:szCs w:val="32"/>
                </w:rPr>
                <w:t xml:space="preserve"> </w:t>
              </w:r>
              <w:r>
                <w:rPr>
                  <w:rFonts w:eastAsia="楷体_GB2312"/>
                  <w:sz w:val="32"/>
                  <w:szCs w:val="32"/>
                </w:rPr>
                <w:t xml:space="preserve"> 加大支持，完善政策</w:t>
              </w:r>
            </w:sdtContent>
          </w:sdt>
          <w:r>
            <w:rPr>
              <w:rFonts w:eastAsia="楷体_GB2312"/>
              <w:sz w:val="32"/>
              <w:szCs w:val="32"/>
            </w:rPr>
            <w:tab/>
          </w:r>
          <w:r>
            <w:rPr>
              <w:rFonts w:hint="eastAsia" w:eastAsia="楷体_GB2312"/>
              <w:sz w:val="32"/>
              <w:szCs w:val="32"/>
            </w:rPr>
            <w:t>29</w:t>
          </w:r>
          <w:r>
            <w:rPr>
              <w:rFonts w:hint="eastAsia" w:eastAsia="楷体_GB2312"/>
              <w:sz w:val="32"/>
              <w:szCs w:val="32"/>
            </w:rPr>
            <w:fldChar w:fldCharType="end"/>
          </w:r>
        </w:p>
        <w:p>
          <w:pPr>
            <w:pStyle w:val="35"/>
            <w:tabs>
              <w:tab w:val="right" w:leader="dot" w:pos="8306"/>
            </w:tabs>
            <w:ind w:left="640"/>
            <w:rPr>
              <w:rFonts w:eastAsia="楷体_GB2312"/>
              <w:sz w:val="32"/>
              <w:szCs w:val="32"/>
            </w:rPr>
          </w:pPr>
          <w:r>
            <w:fldChar w:fldCharType="begin"/>
          </w:r>
          <w:r>
            <w:instrText xml:space="preserve"> HYPERLINK \l "_Toc23910_WPSOffice_Level2" </w:instrText>
          </w:r>
          <w:r>
            <w:fldChar w:fldCharType="separate"/>
          </w:r>
          <w:sdt>
            <w:sdtPr>
              <w:rPr>
                <w:rFonts w:eastAsia="楷体_GB2312"/>
                <w:kern w:val="2"/>
                <w:sz w:val="32"/>
                <w:szCs w:val="32"/>
              </w:rPr>
              <w:id w:val="-1423334803"/>
            </w:sdtPr>
            <w:sdtEndPr>
              <w:rPr>
                <w:rFonts w:eastAsia="楷体_GB2312"/>
                <w:kern w:val="2"/>
                <w:sz w:val="32"/>
                <w:szCs w:val="32"/>
              </w:rPr>
            </w:sdtEndPr>
            <w:sdtContent>
              <w:r>
                <w:rPr>
                  <w:rFonts w:eastAsia="楷体_GB2312"/>
                  <w:sz w:val="32"/>
                  <w:szCs w:val="32"/>
                </w:rPr>
                <w:t xml:space="preserve">第三节 </w:t>
              </w:r>
              <w:r>
                <w:rPr>
                  <w:rFonts w:hint="eastAsia" w:eastAsia="楷体_GB2312"/>
                  <w:sz w:val="32"/>
                  <w:szCs w:val="32"/>
                </w:rPr>
                <w:t xml:space="preserve"> </w:t>
              </w:r>
              <w:r>
                <w:rPr>
                  <w:rFonts w:eastAsia="楷体_GB2312"/>
                  <w:sz w:val="32"/>
                  <w:szCs w:val="32"/>
                </w:rPr>
                <w:t>精心组织，强化监测</w:t>
              </w:r>
            </w:sdtContent>
          </w:sdt>
          <w:r>
            <w:rPr>
              <w:rFonts w:eastAsia="楷体_GB2312"/>
              <w:sz w:val="32"/>
              <w:szCs w:val="32"/>
            </w:rPr>
            <w:tab/>
          </w:r>
          <w:r>
            <w:rPr>
              <w:rFonts w:hint="eastAsia" w:eastAsia="楷体_GB2312"/>
              <w:sz w:val="32"/>
              <w:szCs w:val="32"/>
            </w:rPr>
            <w:t>3</w:t>
          </w:r>
          <w:r>
            <w:rPr>
              <w:rFonts w:hint="eastAsia" w:eastAsia="楷体_GB2312"/>
              <w:sz w:val="32"/>
              <w:szCs w:val="32"/>
            </w:rPr>
            <w:fldChar w:fldCharType="end"/>
          </w:r>
          <w:r>
            <w:rPr>
              <w:rFonts w:hint="eastAsia" w:eastAsia="楷体_GB2312"/>
              <w:sz w:val="32"/>
              <w:szCs w:val="32"/>
            </w:rPr>
            <w:t>0</w:t>
          </w:r>
        </w:p>
        <w:p>
          <w:pPr>
            <w:pStyle w:val="35"/>
            <w:tabs>
              <w:tab w:val="right" w:leader="dot" w:pos="8306"/>
            </w:tabs>
            <w:ind w:left="640"/>
            <w:rPr>
              <w:rFonts w:eastAsia="仿宋_GB2312"/>
              <w:kern w:val="2"/>
              <w:sz w:val="21"/>
              <w:szCs w:val="22"/>
            </w:rPr>
          </w:pPr>
          <w:r>
            <w:fldChar w:fldCharType="begin"/>
          </w:r>
          <w:r>
            <w:instrText xml:space="preserve"> HYPERLINK \l "_Toc18866_WPSOffice_Level2" </w:instrText>
          </w:r>
          <w:r>
            <w:fldChar w:fldCharType="separate"/>
          </w:r>
          <w:sdt>
            <w:sdtPr>
              <w:rPr>
                <w:rFonts w:eastAsia="楷体_GB2312"/>
                <w:kern w:val="2"/>
                <w:sz w:val="32"/>
                <w:szCs w:val="32"/>
              </w:rPr>
              <w:id w:val="-1796128799"/>
            </w:sdtPr>
            <w:sdtEndPr>
              <w:rPr>
                <w:rFonts w:eastAsia="楷体_GB2312"/>
                <w:kern w:val="2"/>
                <w:sz w:val="32"/>
                <w:szCs w:val="32"/>
              </w:rPr>
            </w:sdtEndPr>
            <w:sdtContent>
              <w:r>
                <w:rPr>
                  <w:rFonts w:eastAsia="楷体_GB2312"/>
                  <w:sz w:val="32"/>
                  <w:szCs w:val="32"/>
                </w:rPr>
                <w:t xml:space="preserve">第四节 </w:t>
              </w:r>
              <w:r>
                <w:rPr>
                  <w:rFonts w:hint="eastAsia" w:eastAsia="楷体_GB2312"/>
                  <w:sz w:val="32"/>
                  <w:szCs w:val="32"/>
                </w:rPr>
                <w:t xml:space="preserve"> </w:t>
              </w:r>
              <w:r>
                <w:rPr>
                  <w:rFonts w:eastAsia="楷体_GB2312"/>
                  <w:sz w:val="32"/>
                  <w:szCs w:val="32"/>
                </w:rPr>
                <w:t>注重宣传，营造氛围</w:t>
              </w:r>
            </w:sdtContent>
          </w:sdt>
          <w:r>
            <w:rPr>
              <w:rFonts w:eastAsia="楷体_GB2312"/>
              <w:sz w:val="32"/>
              <w:szCs w:val="32"/>
            </w:rPr>
            <w:tab/>
          </w:r>
          <w:r>
            <w:rPr>
              <w:rFonts w:hint="eastAsia" w:eastAsia="楷体_GB2312"/>
              <w:sz w:val="32"/>
              <w:szCs w:val="32"/>
            </w:rPr>
            <w:t>3</w:t>
          </w:r>
          <w:r>
            <w:rPr>
              <w:rFonts w:hint="eastAsia" w:eastAsia="楷体_GB2312"/>
              <w:sz w:val="32"/>
              <w:szCs w:val="32"/>
            </w:rPr>
            <w:fldChar w:fldCharType="end"/>
          </w:r>
          <w:r>
            <w:rPr>
              <w:rFonts w:hint="eastAsia" w:eastAsia="楷体_GB2312"/>
              <w:sz w:val="32"/>
              <w:szCs w:val="32"/>
            </w:rPr>
            <w:t>0</w:t>
          </w:r>
        </w:p>
      </w:sdtContent>
    </w:sdt>
    <w:p>
      <w:pPr>
        <w:widowControl w:val="0"/>
        <w:shd w:val="clear" w:color="auto" w:fill="FFFFFF"/>
        <w:overflowPunct w:val="0"/>
        <w:snapToGrid/>
        <w:ind w:firstLine="1040" w:firstLineChars="200"/>
        <w:rPr>
          <w:rFonts w:ascii="华文中宋" w:hAnsi="华文中宋" w:eastAsia="华文中宋"/>
          <w:sz w:val="52"/>
          <w:szCs w:val="52"/>
        </w:rPr>
      </w:pPr>
      <w:r>
        <w:rPr>
          <w:rFonts w:ascii="华文中宋" w:hAnsi="华文中宋" w:eastAsia="华文中宋"/>
          <w:sz w:val="52"/>
          <w:szCs w:val="52"/>
        </w:rPr>
        <w:br w:type="page"/>
      </w:r>
    </w:p>
    <w:p>
      <w:pPr>
        <w:widowControl w:val="0"/>
        <w:overflowPunct w:val="0"/>
        <w:snapToGrid/>
        <w:ind w:firstLine="640" w:firstLineChars="200"/>
      </w:pPr>
      <w:bookmarkStart w:id="11" w:name="_Toc21973_WPSOffice_Type2"/>
      <w:r>
        <w:rPr>
          <w:rFonts w:hint="eastAsia"/>
        </w:rPr>
        <w:t>“十四五”时期是我国由全面建成小康社会转入全面建设社会主义现代化国家的新发展阶段。为充分发挥中医药在健康成都建设中的独特作用，加快推进成都市</w:t>
      </w:r>
      <w:bookmarkStart w:id="12" w:name="_Hlk90920229"/>
      <w:r>
        <w:rPr>
          <w:rFonts w:hint="eastAsia"/>
        </w:rPr>
        <w:t>中医药事业、产业、文化“三位一体”高质量发展</w:t>
      </w:r>
      <w:bookmarkEnd w:id="12"/>
      <w:r>
        <w:rPr>
          <w:rFonts w:hint="eastAsia"/>
        </w:rPr>
        <w:t>，根据《</w:t>
      </w:r>
      <w:r>
        <w:t>四川省</w:t>
      </w:r>
      <w:r>
        <w:rPr>
          <w:rFonts w:hint="eastAsia" w:ascii="仿宋_GB2312" w:hAnsi="仿宋_GB2312" w:cs="仿宋_GB2312"/>
        </w:rPr>
        <w:t>“十四五”</w:t>
      </w:r>
      <w:r>
        <w:t>中医药高质量发展规划</w:t>
      </w:r>
      <w:r>
        <w:rPr>
          <w:rFonts w:hint="eastAsia"/>
        </w:rPr>
        <w:t>》《成都市国民经济和社会发展第十四个五年规划和二</w:t>
      </w:r>
      <w:r>
        <w:rPr>
          <w:rFonts w:hint="eastAsia" w:cs="宋体"/>
        </w:rPr>
        <w:t>〇</w:t>
      </w:r>
      <w:r>
        <w:rPr>
          <w:rFonts w:hint="eastAsia"/>
        </w:rPr>
        <w:t>三五年远景目标纲要》</w:t>
      </w:r>
      <w:r>
        <w:t>以及</w:t>
      </w:r>
      <w:r>
        <w:rPr>
          <w:rFonts w:hint="eastAsia" w:ascii="仿宋_GB2312" w:hAnsi="仿宋_GB2312" w:cs="仿宋_GB2312"/>
        </w:rPr>
        <w:t>“实施中医药强省建设行动，推进国家中医药综合改革示范区建设”</w:t>
      </w:r>
      <w:r>
        <w:rPr>
          <w:rFonts w:hint="eastAsia"/>
        </w:rPr>
        <w:t>要求，结合全市中医药发展实际，编制本</w:t>
      </w:r>
      <w:r>
        <w:t>规划。</w:t>
      </w:r>
    </w:p>
    <w:p>
      <w:pPr>
        <w:widowControl w:val="0"/>
        <w:overflowPunct w:val="0"/>
        <w:snapToGrid/>
        <w:jc w:val="center"/>
        <w:outlineLvl w:val="0"/>
        <w:rPr>
          <w:rFonts w:ascii="黑体" w:hAnsi="黑体" w:eastAsia="黑体"/>
        </w:rPr>
      </w:pPr>
      <w:bookmarkStart w:id="13" w:name="_Toc62809913"/>
      <w:bookmarkStart w:id="14" w:name="_Toc23100_WPSOffice_Level1"/>
      <w:r>
        <w:rPr>
          <w:rFonts w:hint="eastAsia" w:ascii="黑体" w:hAnsi="黑体" w:eastAsia="黑体"/>
        </w:rPr>
        <w:t>第一章  规划背景</w:t>
      </w:r>
      <w:bookmarkEnd w:id="13"/>
      <w:bookmarkEnd w:id="14"/>
    </w:p>
    <w:p>
      <w:pPr>
        <w:widowControl w:val="0"/>
        <w:overflowPunct w:val="0"/>
        <w:snapToGrid/>
        <w:jc w:val="center"/>
        <w:outlineLvl w:val="1"/>
        <w:rPr>
          <w:rFonts w:ascii="楷体_GB2312" w:eastAsia="楷体_GB2312"/>
        </w:rPr>
      </w:pPr>
      <w:bookmarkStart w:id="15" w:name="_Toc21973_WPSOffice_Level2"/>
      <w:bookmarkStart w:id="16" w:name="_Toc62809914"/>
      <w:r>
        <w:rPr>
          <w:rFonts w:hint="eastAsia" w:ascii="楷体_GB2312" w:eastAsia="楷体_GB2312"/>
        </w:rPr>
        <w:t>第一节  发展基础</w:t>
      </w:r>
      <w:bookmarkEnd w:id="15"/>
      <w:bookmarkEnd w:id="16"/>
    </w:p>
    <w:p>
      <w:pPr>
        <w:widowControl w:val="0"/>
        <w:overflowPunct w:val="0"/>
        <w:snapToGrid/>
        <w:ind w:firstLine="640" w:firstLineChars="200"/>
      </w:pPr>
      <w:r>
        <w:rPr>
          <w:rFonts w:hint="eastAsia"/>
        </w:rPr>
        <w:t>“十三五”期间，</w:t>
      </w:r>
      <w:r>
        <w:t>在市委市政府的坚强领导下，全市中医药系统深入贯彻</w:t>
      </w:r>
      <w:r>
        <w:rPr>
          <w:rFonts w:hint="eastAsia"/>
        </w:rPr>
        <w:t>习</w:t>
      </w:r>
      <w:r>
        <w:t>近平总书记关于中医药工作的系列重要论述和全国中医药大会精神，充分遵循中医药发展规律，传承精华，守正创新，中医药服务体系</w:t>
      </w:r>
      <w:r>
        <w:rPr>
          <w:rFonts w:hint="eastAsia"/>
        </w:rPr>
        <w:t>进一步</w:t>
      </w:r>
      <w:r>
        <w:t>健全，中医药服务能力明显提升，中医药特色优势不断凸显，</w:t>
      </w:r>
      <w:r>
        <w:rPr>
          <w:rFonts w:hint="eastAsia"/>
        </w:rPr>
        <w:t>为保障人民群众健康和促进经济社会发展作出积极贡献</w:t>
      </w:r>
      <w:r>
        <w:t>。</w:t>
      </w:r>
    </w:p>
    <w:p>
      <w:pPr>
        <w:widowControl w:val="0"/>
        <w:overflowPunct w:val="0"/>
        <w:snapToGrid/>
        <w:ind w:firstLine="640" w:firstLineChars="200"/>
      </w:pPr>
      <w:r>
        <w:rPr>
          <w:rFonts w:hint="eastAsia"/>
        </w:rPr>
        <w:t>中医药服务体系</w:t>
      </w:r>
      <w:r>
        <w:t>进一步</w:t>
      </w:r>
      <w:r>
        <w:rPr>
          <w:rFonts w:hint="eastAsia"/>
        </w:rPr>
        <w:t>健全。截至</w:t>
      </w:r>
      <w:r>
        <w:t>2020年底，全市中医医疗机构达到2178个，开放床位2.14万张，每千人口执业医师数由2015年的0.71人增长到0.76人。8个区（市）县中医医院迁（扩）建工程顺利完成。100%的社区卫生服务中心和乡镇卫生院建成中医馆，100%的社区卫生服务站和97.07%的村卫生室能提供中医药服务，打造141个</w:t>
      </w:r>
      <w:r>
        <w:rPr>
          <w:rFonts w:hint="eastAsia"/>
        </w:rPr>
        <w:t>“示范中医馆”</w:t>
      </w:r>
      <w:r>
        <w:t>、800个</w:t>
      </w:r>
      <w:r>
        <w:rPr>
          <w:rFonts w:hint="eastAsia"/>
        </w:rPr>
        <w:t>“规范化中医角”。</w:t>
      </w:r>
      <w:r>
        <w:t>100%公立</w:t>
      </w:r>
      <w:r>
        <w:rPr>
          <w:rFonts w:hint="eastAsia"/>
        </w:rPr>
        <w:t>综合医院和妇幼保健院设</w:t>
      </w:r>
      <w:r>
        <w:t>有中医科和中药房</w:t>
      </w:r>
      <w:r>
        <w:rPr>
          <w:rFonts w:hint="eastAsia"/>
        </w:rPr>
        <w:t>，</w:t>
      </w:r>
      <w:r>
        <w:t>6家单位获</w:t>
      </w:r>
      <w:r>
        <w:rPr>
          <w:rFonts w:hint="eastAsia"/>
        </w:rPr>
        <w:t>评“全国综合医院中医药工作示范单位”。</w:t>
      </w:r>
      <w:r>
        <w:t>社会办中医医疗机构较2015年增加863家，增幅为67.7%，被纳入国家社会办中医试点城市。全市基层中医药服务量达54.60%，较2015年上升4.17个百分点。</w:t>
      </w:r>
    </w:p>
    <w:p>
      <w:pPr>
        <w:widowControl w:val="0"/>
        <w:overflowPunct w:val="0"/>
        <w:snapToGrid/>
        <w:ind w:firstLine="640" w:firstLineChars="200"/>
      </w:pPr>
      <w:r>
        <w:rPr>
          <w:rFonts w:hint="eastAsia"/>
        </w:rPr>
        <w:t>中医药服务能力显著增强。获</w:t>
      </w:r>
      <w:r>
        <w:t>建国家区域中医诊疗中心</w:t>
      </w:r>
      <w:r>
        <w:rPr>
          <w:rFonts w:hint="eastAsia"/>
        </w:rPr>
        <w:t>4个</w:t>
      </w:r>
      <w:r>
        <w:t>，建成三级甲等中医医院</w:t>
      </w:r>
      <w:r>
        <w:rPr>
          <w:rFonts w:hint="eastAsia"/>
        </w:rPr>
        <w:t>9个，</w:t>
      </w:r>
      <w:r>
        <w:t>三级乙等中医医院6</w:t>
      </w:r>
      <w:r>
        <w:rPr>
          <w:rFonts w:hint="eastAsia"/>
        </w:rPr>
        <w:t>个。建成国家级、省级中医重点专科6个、7</w:t>
      </w:r>
      <w:r>
        <w:t>7</w:t>
      </w:r>
      <w:r>
        <w:rPr>
          <w:rFonts w:hint="eastAsia"/>
        </w:rPr>
        <w:t>个。2020年</w:t>
      </w:r>
      <w:r>
        <w:t>中医年诊疗人次</w:t>
      </w:r>
      <w:r>
        <w:rPr>
          <w:rFonts w:hint="eastAsia"/>
        </w:rPr>
        <w:t>达2</w:t>
      </w:r>
      <w:r>
        <w:t>784</w:t>
      </w:r>
      <w:r>
        <w:rPr>
          <w:rFonts w:hint="eastAsia"/>
        </w:rPr>
        <w:t>万人次</w:t>
      </w:r>
      <w:r>
        <w:t>。</w:t>
      </w:r>
      <w:r>
        <w:rPr>
          <w:rFonts w:hint="eastAsia"/>
        </w:rPr>
        <w:t>建有23个基层中医药适宜技术推广基地和6个中医区域指导中心，基层中医药健康管理率达70%以上。成都</w:t>
      </w:r>
      <w:r>
        <w:t>市及2</w:t>
      </w:r>
      <w:r>
        <w:rPr>
          <w:rFonts w:hint="eastAsia"/>
        </w:rPr>
        <w:t>1</w:t>
      </w:r>
      <w:r>
        <w:t>个区（市）县</w:t>
      </w:r>
      <w:r>
        <w:rPr>
          <w:rFonts w:hint="eastAsia"/>
        </w:rPr>
        <w:t>分别获评“全国基层中医药工作先进单位”并通过复审。发</w:t>
      </w:r>
      <w:r>
        <w:t>挥</w:t>
      </w:r>
      <w:r>
        <w:rPr>
          <w:rFonts w:hint="eastAsia"/>
        </w:rPr>
        <w:t>“国家中医药防治传染病重点研究室”作用，中医药防治传染病取得</w:t>
      </w:r>
      <w:r>
        <w:t>重大突破，中医药参与</w:t>
      </w:r>
      <w:r>
        <w:rPr>
          <w:rFonts w:hint="eastAsia"/>
        </w:rPr>
        <w:t>救治</w:t>
      </w:r>
      <w:r>
        <w:t>新冠肺炎普通型确诊</w:t>
      </w:r>
      <w:r>
        <w:rPr>
          <w:rFonts w:hint="eastAsia"/>
        </w:rPr>
        <w:t>患者</w:t>
      </w:r>
      <w:r>
        <w:t>实现全覆盖。</w:t>
      </w:r>
    </w:p>
    <w:p>
      <w:pPr>
        <w:widowControl w:val="0"/>
        <w:overflowPunct w:val="0"/>
        <w:snapToGrid/>
        <w:ind w:firstLine="640" w:firstLineChars="200"/>
      </w:pPr>
      <w:r>
        <w:rPr>
          <w:rFonts w:hint="eastAsia"/>
        </w:rPr>
        <w:t>中药</w:t>
      </w:r>
      <w:r>
        <w:t>产业加</w:t>
      </w:r>
      <w:r>
        <w:rPr>
          <w:rFonts w:hint="eastAsia"/>
        </w:rPr>
        <w:t>速</w:t>
      </w:r>
      <w:r>
        <w:t>振兴发展。</w:t>
      </w:r>
      <w:r>
        <w:rPr>
          <w:rFonts w:hint="eastAsia"/>
        </w:rPr>
        <w:t>成功创建“彭州敖平川芎”省级特色农产品优势区，初步建成以川芎、郁金等为重点的成都中药材产业带</w:t>
      </w:r>
      <w:r>
        <w:t>。 “彭州川芎”等 3 个农产品获得地理标志产品</w:t>
      </w:r>
      <w:r>
        <w:rPr>
          <w:rFonts w:hint="eastAsia"/>
        </w:rPr>
        <w:t>称号</w:t>
      </w:r>
      <w:r>
        <w:t>；“川芎”等3个</w:t>
      </w:r>
      <w:r>
        <w:rPr>
          <w:rFonts w:hint="eastAsia"/>
        </w:rPr>
        <w:t>获得</w:t>
      </w:r>
      <w:r>
        <w:t>地理标志保护产品</w:t>
      </w:r>
      <w:r>
        <w:rPr>
          <w:rFonts w:hint="eastAsia"/>
        </w:rPr>
        <w:t>称号</w:t>
      </w:r>
      <w:r>
        <w:t>。2020年，全市中药材种植面积达21.82万亩，产量6.59万吨，产值16.64亿元。规划建设天府中药城，累计实现招引项目41个，协议总投资达213.28亿元。建成</w:t>
      </w:r>
      <w:r>
        <w:rPr>
          <w:rFonts w:hint="eastAsia"/>
        </w:rPr>
        <w:t>国家中医药管理局中药质量生物学评价重点研究室等20余个高层次的中医药科研和服务平台。成功打造新绿色药业、新荷花中药饮片有限公司等一批中医药大企业。2020年，</w:t>
      </w:r>
      <w:r>
        <w:t>全市销售额</w:t>
      </w:r>
      <w:r>
        <w:rPr>
          <w:rFonts w:hint="eastAsia"/>
        </w:rPr>
        <w:t>超</w:t>
      </w:r>
      <w:r>
        <w:t>2000万的中药单品</w:t>
      </w:r>
      <w:r>
        <w:rPr>
          <w:rFonts w:hint="eastAsia"/>
        </w:rPr>
        <w:t>达到</w:t>
      </w:r>
      <w:r>
        <w:t>50个以上，实现营业收入近70亿元。</w:t>
      </w:r>
      <w:r>
        <w:rPr>
          <w:rFonts w:hint="eastAsia"/>
        </w:rPr>
        <w:t>中</w:t>
      </w:r>
      <w:r>
        <w:t>医药健康服务业</w:t>
      </w:r>
      <w:r>
        <w:rPr>
          <w:rFonts w:hint="eastAsia"/>
        </w:rPr>
        <w:t>快速</w:t>
      </w:r>
      <w:r>
        <w:t>发展，</w:t>
      </w:r>
      <w:r>
        <w:rPr>
          <w:rFonts w:hint="eastAsia"/>
        </w:rPr>
        <w:t>都江堰获评首批“国家中医药健康旅游示范区”，彭州市宝山景区、金牛区“枣子</w:t>
      </w:r>
      <w:r>
        <w:t>巷中医</w:t>
      </w:r>
      <w:r>
        <w:rPr>
          <w:rFonts w:hint="eastAsia"/>
        </w:rPr>
        <w:t>药特色街区</w:t>
      </w:r>
      <w:r>
        <w:t>”</w:t>
      </w:r>
      <w:r>
        <w:rPr>
          <w:rFonts w:hint="eastAsia"/>
        </w:rPr>
        <w:t>等5家创</w:t>
      </w:r>
      <w:r>
        <w:t>成</w:t>
      </w:r>
      <w:r>
        <w:rPr>
          <w:rFonts w:hint="eastAsia"/>
        </w:rPr>
        <w:t>四川省中医药健康旅游示范基地。</w:t>
      </w:r>
      <w:r>
        <w:t xml:space="preserve"> </w:t>
      </w:r>
    </w:p>
    <w:p>
      <w:pPr>
        <w:overflowPunct w:val="0"/>
        <w:snapToGrid/>
        <w:spacing w:line="540" w:lineRule="exact"/>
        <w:ind w:firstLine="640" w:firstLineChars="200"/>
        <w:rPr>
          <w:color w:val="000000"/>
        </w:rPr>
      </w:pPr>
      <w:r>
        <w:rPr>
          <w:rFonts w:hint="eastAsia"/>
        </w:rPr>
        <w:t>中医药人才队伍建设更加夯实。人</w:t>
      </w:r>
      <w:r>
        <w:t>才梯队建设不断完善，现</w:t>
      </w:r>
      <w:r>
        <w:rPr>
          <w:color w:val="000000"/>
        </w:rPr>
        <w:t>有国医大师</w:t>
      </w:r>
      <w:r>
        <w:rPr>
          <w:rFonts w:hint="eastAsia"/>
          <w:color w:val="000000"/>
        </w:rPr>
        <w:t>3</w:t>
      </w:r>
      <w:r>
        <w:rPr>
          <w:color w:val="000000"/>
        </w:rPr>
        <w:t>人、全国名中医</w:t>
      </w:r>
      <w:r>
        <w:rPr>
          <w:rFonts w:hint="eastAsia"/>
          <w:color w:val="000000"/>
        </w:rPr>
        <w:t>3</w:t>
      </w:r>
      <w:r>
        <w:rPr>
          <w:color w:val="000000"/>
        </w:rPr>
        <w:t>人、省十大名中医</w:t>
      </w:r>
      <w:r>
        <w:rPr>
          <w:rFonts w:hint="eastAsia"/>
          <w:color w:val="000000"/>
        </w:rPr>
        <w:t>21</w:t>
      </w:r>
      <w:r>
        <w:rPr>
          <w:color w:val="000000"/>
        </w:rPr>
        <w:t>人、省名中医</w:t>
      </w:r>
      <w:r>
        <w:rPr>
          <w:rFonts w:hint="eastAsia"/>
          <w:color w:val="000000"/>
        </w:rPr>
        <w:t>334</w:t>
      </w:r>
      <w:r>
        <w:rPr>
          <w:color w:val="000000"/>
        </w:rPr>
        <w:t>人、市名中医</w:t>
      </w:r>
      <w:r>
        <w:rPr>
          <w:rFonts w:hint="eastAsia"/>
          <w:color w:val="000000"/>
        </w:rPr>
        <w:t>147</w:t>
      </w:r>
      <w:r>
        <w:rPr>
          <w:color w:val="000000"/>
        </w:rPr>
        <w:t>人</w:t>
      </w:r>
      <w:r>
        <w:rPr>
          <w:rFonts w:hint="eastAsia"/>
          <w:color w:val="000000"/>
        </w:rPr>
        <w:t>，</w:t>
      </w:r>
      <w:r>
        <w:rPr>
          <w:color w:val="000000"/>
        </w:rPr>
        <w:t>中医药高级职称人员</w:t>
      </w:r>
      <w:r>
        <w:rPr>
          <w:rFonts w:hint="eastAsia"/>
          <w:color w:val="000000"/>
        </w:rPr>
        <w:t>3000余</w:t>
      </w:r>
      <w:r>
        <w:rPr>
          <w:color w:val="000000"/>
        </w:rPr>
        <w:t>名</w:t>
      </w:r>
      <w:r>
        <w:rPr>
          <w:rFonts w:hint="eastAsia"/>
          <w:color w:val="000000"/>
        </w:rPr>
        <w:t>。</w:t>
      </w:r>
      <w:r>
        <w:rPr>
          <w:color w:val="000000"/>
        </w:rPr>
        <w:t>建成中医医师规范化培训基地</w:t>
      </w:r>
      <w:r>
        <w:rPr>
          <w:rFonts w:hint="eastAsia"/>
          <w:color w:val="000000"/>
        </w:rPr>
        <w:t>5</w:t>
      </w:r>
      <w:r>
        <w:rPr>
          <w:color w:val="000000"/>
        </w:rPr>
        <w:t>个、全国基层名老中医药专家传承工作室4个、全国和省级名中医传承工作室5</w:t>
      </w:r>
      <w:r>
        <w:rPr>
          <w:rFonts w:hint="eastAsia"/>
          <w:color w:val="000000"/>
        </w:rPr>
        <w:t>4</w:t>
      </w:r>
      <w:r>
        <w:rPr>
          <w:color w:val="000000"/>
        </w:rPr>
        <w:t>个</w:t>
      </w:r>
      <w:r>
        <w:rPr>
          <w:rFonts w:hint="eastAsia"/>
          <w:color w:val="000000"/>
        </w:rPr>
        <w:t>、</w:t>
      </w:r>
      <w:r>
        <w:rPr>
          <w:color w:val="000000"/>
        </w:rPr>
        <w:t>市级名中医传承工作室10个。</w:t>
      </w:r>
      <w:r>
        <w:rPr>
          <w:rFonts w:hint="eastAsia"/>
        </w:rPr>
        <w:t>“十三五”</w:t>
      </w:r>
      <w:r>
        <w:t>期间，</w:t>
      </w:r>
      <w:r>
        <w:rPr>
          <w:color w:val="000000"/>
        </w:rPr>
        <w:t>举办全国、省、市级中医药继续教育项目400余项，规范化培养中医医师5200余人，培养中医药师承人员115人、中医全科医生447人、“西</w:t>
      </w:r>
      <w:r>
        <w:rPr>
          <w:rFonts w:hint="eastAsia"/>
          <w:color w:val="000000"/>
        </w:rPr>
        <w:t>学</w:t>
      </w:r>
      <w:r>
        <w:rPr>
          <w:color w:val="000000"/>
        </w:rPr>
        <w:t>中”骨干人才59人，通过</w:t>
      </w:r>
      <w:r>
        <w:rPr>
          <w:rFonts w:hint="eastAsia"/>
          <w:color w:val="000000"/>
        </w:rPr>
        <w:t>农村订单定向</w:t>
      </w:r>
      <w:r>
        <w:rPr>
          <w:color w:val="000000"/>
        </w:rPr>
        <w:t>免费培养中医专业</w:t>
      </w:r>
      <w:r>
        <w:rPr>
          <w:rFonts w:hint="eastAsia"/>
          <w:color w:val="000000"/>
        </w:rPr>
        <w:t>医学生</w:t>
      </w:r>
      <w:r>
        <w:rPr>
          <w:color w:val="000000"/>
        </w:rPr>
        <w:t>66人。全市基层中医药人员培训实现全覆盖。</w:t>
      </w:r>
    </w:p>
    <w:p>
      <w:pPr>
        <w:overflowPunct w:val="0"/>
        <w:ind w:firstLine="640" w:firstLineChars="200"/>
      </w:pPr>
      <w:r>
        <w:rPr>
          <w:rFonts w:hint="eastAsia"/>
        </w:rPr>
        <w:t>中医药传统文化进一步弘扬。推动</w:t>
      </w:r>
      <w:r>
        <w:t>中医药健康养生文化创造性转化、创新性发展，</w:t>
      </w:r>
      <w:r>
        <w:rPr>
          <w:rFonts w:hint="eastAsia"/>
        </w:rPr>
        <w:t>在全国首创</w:t>
      </w:r>
      <w:r>
        <w:rPr>
          <w:rFonts w:ascii="仿宋" w:hAnsi="仿宋" w:eastAsia="仿宋" w:cs="仿宋"/>
          <w:szCs w:val="32"/>
          <w:lang w:bidi="ar"/>
        </w:rPr>
        <w:t>《四季养生》动漫形式宣传片</w:t>
      </w:r>
      <w:r>
        <w:rPr>
          <w:rFonts w:hint="eastAsia"/>
        </w:rPr>
        <w:t>，</w:t>
      </w:r>
      <w:r>
        <w:t>自主</w:t>
      </w:r>
      <w:r>
        <w:rPr>
          <w:rFonts w:hint="eastAsia"/>
        </w:rPr>
        <w:t>创作</w:t>
      </w:r>
      <w:r>
        <w:rPr>
          <w:rFonts w:ascii="仿宋" w:hAnsi="仿宋" w:eastAsia="仿宋" w:cs="仿宋"/>
          <w:szCs w:val="32"/>
          <w:lang w:bidi="ar"/>
        </w:rPr>
        <w:t>《果蔬爱食疗》等</w:t>
      </w:r>
      <w:r>
        <w:rPr>
          <w:rFonts w:hint="eastAsia"/>
        </w:rPr>
        <w:t>视频</w:t>
      </w:r>
      <w:r>
        <w:t>，</w:t>
      </w:r>
      <w:r>
        <w:rPr>
          <w:rFonts w:ascii="仿宋" w:hAnsi="仿宋" w:eastAsia="仿宋" w:cs="仿宋"/>
          <w:szCs w:val="32"/>
          <w:lang w:bidi="ar"/>
        </w:rPr>
        <w:t>编印《四季养生茶饮》《小厨房大健康》等书籍</w:t>
      </w:r>
      <w:r>
        <w:rPr>
          <w:rFonts w:hint="eastAsia"/>
        </w:rPr>
        <w:t>，指导老百姓科学养生。在全国率先开展中医药文化进幼儿园、进校园活动，启动“成都名中医流动车”，开通“成都中医寻诊地图”，推动中医药服务首次亮相大型国际体育赛事，中医药文化传播“成都路径</w:t>
      </w:r>
      <w:r>
        <w:t>”</w:t>
      </w:r>
      <w:r>
        <w:rPr>
          <w:rFonts w:hint="eastAsia"/>
        </w:rPr>
        <w:t>上</w:t>
      </w:r>
      <w:r>
        <w:t>升为国家</w:t>
      </w:r>
      <w:r>
        <w:rPr>
          <w:rFonts w:hint="eastAsia"/>
        </w:rPr>
        <w:t>经</w:t>
      </w:r>
      <w:r>
        <w:t>验获得推广。</w:t>
      </w:r>
    </w:p>
    <w:p>
      <w:pPr>
        <w:overflowPunct w:val="0"/>
        <w:ind w:firstLine="640" w:firstLineChars="200"/>
      </w:pPr>
      <w:r>
        <w:rPr>
          <w:rFonts w:hint="eastAsia"/>
        </w:rPr>
        <w:t>中医药</w:t>
      </w:r>
      <w:r>
        <w:t>发展环境</w:t>
      </w:r>
      <w:r>
        <w:rPr>
          <w:rFonts w:hint="eastAsia"/>
        </w:rPr>
        <w:t>更</w:t>
      </w:r>
      <w:r>
        <w:t>加</w:t>
      </w:r>
      <w:r>
        <w:rPr>
          <w:rFonts w:hint="eastAsia"/>
        </w:rPr>
        <w:t>优化。</w:t>
      </w:r>
      <w:r>
        <w:t>落实中医药扶持政策，市级财政</w:t>
      </w:r>
      <w:bookmarkStart w:id="17" w:name="_Hlk66174101"/>
      <w:r>
        <w:rPr>
          <w:rFonts w:hint="eastAsia"/>
        </w:rPr>
        <w:t>设立中</w:t>
      </w:r>
      <w:r>
        <w:t>医药专项资</w:t>
      </w:r>
      <w:r>
        <w:rPr>
          <w:rFonts w:hint="eastAsia"/>
        </w:rPr>
        <w:t>金</w:t>
      </w:r>
      <w:r>
        <w:t>，</w:t>
      </w:r>
      <w:bookmarkEnd w:id="17"/>
      <w:r>
        <w:rPr>
          <w:rFonts w:hint="eastAsia"/>
        </w:rPr>
        <w:t>“十三五”</w:t>
      </w:r>
      <w:r>
        <w:t>期间，市</w:t>
      </w:r>
      <w:r>
        <w:rPr>
          <w:rFonts w:hint="eastAsia"/>
        </w:rPr>
        <w:t>本</w:t>
      </w:r>
      <w:r>
        <w:t>级财政累计投入1285.75万元。</w:t>
      </w:r>
      <w:r>
        <w:rPr>
          <w:rFonts w:hint="eastAsia"/>
        </w:rPr>
        <w:t>将</w:t>
      </w:r>
      <w:r>
        <w:t>109项诊疗项目</w:t>
      </w:r>
      <w:r>
        <w:rPr>
          <w:rFonts w:hint="eastAsia"/>
        </w:rPr>
        <w:t>、</w:t>
      </w:r>
      <w:r>
        <w:t>496种院内制剂纳入基本医疗保险支付范围，176种院内制剂在全市范围内调剂使用。</w:t>
      </w:r>
    </w:p>
    <w:p>
      <w:pPr>
        <w:widowControl w:val="0"/>
        <w:overflowPunct w:val="0"/>
        <w:snapToGrid/>
        <w:jc w:val="center"/>
        <w:outlineLvl w:val="1"/>
        <w:rPr>
          <w:rFonts w:ascii="楷体_GB2312" w:eastAsia="楷体_GB2312"/>
        </w:rPr>
      </w:pPr>
      <w:bookmarkStart w:id="18" w:name="_Toc62809915"/>
      <w:bookmarkStart w:id="19" w:name="_Toc12548_WPSOffice_Level2"/>
      <w:r>
        <w:rPr>
          <w:rFonts w:hint="eastAsia" w:ascii="楷体_GB2312" w:eastAsia="楷体_GB2312"/>
        </w:rPr>
        <w:t xml:space="preserve">第二节  </w:t>
      </w:r>
      <w:bookmarkEnd w:id="18"/>
      <w:r>
        <w:rPr>
          <w:rFonts w:hint="eastAsia" w:ascii="楷体_GB2312" w:eastAsia="楷体_GB2312"/>
        </w:rPr>
        <w:t>机遇与挑战</w:t>
      </w:r>
      <w:bookmarkEnd w:id="19"/>
    </w:p>
    <w:p>
      <w:pPr>
        <w:widowControl w:val="0"/>
        <w:overflowPunct w:val="0"/>
        <w:snapToGrid/>
        <w:ind w:firstLine="640" w:firstLineChars="200"/>
        <w:outlineLvl w:val="2"/>
      </w:pPr>
      <w:r>
        <w:rPr>
          <w:rFonts w:hint="eastAsia"/>
        </w:rPr>
        <w:t>一、发展机遇</w:t>
      </w:r>
    </w:p>
    <w:p>
      <w:pPr>
        <w:widowControl w:val="0"/>
        <w:overflowPunct w:val="0"/>
        <w:snapToGrid/>
        <w:ind w:firstLine="640" w:firstLineChars="200"/>
      </w:pPr>
      <w:r>
        <w:rPr>
          <w:rFonts w:hint="eastAsia"/>
        </w:rPr>
        <w:t>党和国家高度重视中医药发展，以习近平同志为核心的党中央不断完善中医药发展的顶层设计，把发展中医药提升到国家战略高度，为促进中医药传承创新发展按下快进键。习近平总书记对中医药工作的系列重要论述，是从国家战略的高度全面谋划中医药，为新时代中医药传承创新发展指明了方向，是做好中医药工作的根本遵循和行动指南。省委、省政府立足加快实现由中医药大省向中医药强省转变，出台《四川</w:t>
      </w:r>
      <w:r>
        <w:t>省</w:t>
      </w:r>
      <w:r>
        <w:rPr>
          <w:rFonts w:hint="eastAsia"/>
        </w:rPr>
        <w:t>中医药条例》《关于促进中医药传承创新发展的实施意见》《四川省中医药强省建设行动方案》等政策文件，为中医药蓬勃发展提供了政策依据。</w:t>
      </w:r>
    </w:p>
    <w:p>
      <w:pPr>
        <w:widowControl w:val="0"/>
        <w:overflowPunct w:val="0"/>
        <w:snapToGrid/>
        <w:ind w:firstLine="640" w:firstLineChars="200"/>
      </w:pPr>
      <w:r>
        <w:rPr>
          <w:rFonts w:hint="eastAsia" w:cs="仿宋_GB2312"/>
          <w:szCs w:val="32"/>
        </w:rPr>
        <w:t>成渝地区双城经济圈建设、国家中医药综合改革示范区建设、建设践行新发展理念的公园城市示范区系列重大战略，结合</w:t>
      </w:r>
      <w:r>
        <w:t>成都</w:t>
      </w:r>
      <w:r>
        <w:rPr>
          <w:rFonts w:hint="eastAsia"/>
        </w:rPr>
        <w:t>深厚的中医药理论基础、资源优势和实践经验</w:t>
      </w:r>
      <w:r>
        <w:t>，</w:t>
      </w:r>
      <w:r>
        <w:rPr>
          <w:rFonts w:hint="eastAsia" w:cs="仿宋_GB2312"/>
          <w:szCs w:val="32"/>
        </w:rPr>
        <w:t>为新时代中医药传承创新发展提供了有力保障。</w:t>
      </w:r>
      <w:r>
        <w:t>市委</w:t>
      </w:r>
      <w:r>
        <w:rPr>
          <w:rFonts w:hint="eastAsia"/>
        </w:rPr>
        <w:t>、</w:t>
      </w:r>
      <w:r>
        <w:t>市</w:t>
      </w:r>
      <w:r>
        <w:rPr>
          <w:rFonts w:hint="eastAsia"/>
        </w:rPr>
        <w:t>政府把</w:t>
      </w:r>
      <w:r>
        <w:rPr>
          <w:rFonts w:hint="eastAsia" w:ascii="仿宋_GB2312" w:hAnsi="仿宋_GB2312" w:cs="仿宋_GB2312"/>
        </w:rPr>
        <w:t>“建立健全中医药传承创新发展机制”</w:t>
      </w:r>
      <w:r>
        <w:t>作为</w:t>
      </w:r>
      <w:r>
        <w:rPr>
          <w:rFonts w:hint="eastAsia"/>
        </w:rPr>
        <w:t>推动健康成都建设和打造高品质宜居生活地的重要路径，</w:t>
      </w:r>
      <w:r>
        <w:t>在</w:t>
      </w:r>
      <w:r>
        <w:rPr>
          <w:rFonts w:hint="eastAsia"/>
        </w:rPr>
        <w:t>健康成都行动推进委员会设置成都市推进中医药传承创新发展专项工作组，进一步落实相关支持政策</w:t>
      </w:r>
      <w:r>
        <w:t>。</w:t>
      </w:r>
    </w:p>
    <w:p>
      <w:pPr>
        <w:widowControl w:val="0"/>
        <w:overflowPunct w:val="0"/>
        <w:snapToGrid/>
        <w:ind w:firstLine="640" w:firstLineChars="200"/>
      </w:pPr>
      <w:r>
        <w:t>新一轮</w:t>
      </w:r>
      <w:r>
        <w:rPr>
          <w:rFonts w:hint="eastAsia"/>
        </w:rPr>
        <w:t>科技革命突飞猛进，创新驱动成为引领中医药高质量发展的动力源泉，加速推进中医药服务领域拓展和产业转型升级。成渝地区双城经济圈建设、成德眉资同城化发展等系列重大战略创造了新时代中医药发展新机遇。随着社会经济发展和</w:t>
      </w:r>
      <w:r>
        <w:t>人们生活水平的提高以及</w:t>
      </w:r>
      <w:r>
        <w:rPr>
          <w:rFonts w:hint="eastAsia"/>
        </w:rPr>
        <w:t>人口老龄化日益明显，人民群众对健康服务多元、个性、整体、绿色要求逐渐提高</w:t>
      </w:r>
      <w:r>
        <w:t>，</w:t>
      </w:r>
      <w:r>
        <w:rPr>
          <w:rFonts w:hint="eastAsia"/>
        </w:rPr>
        <w:t>对中医药防治慢性疾病、促进康复养老、推动养生保健的需求进入新一轮增长期。</w:t>
      </w:r>
    </w:p>
    <w:p>
      <w:pPr>
        <w:widowControl w:val="0"/>
        <w:overflowPunct w:val="0"/>
        <w:snapToGrid/>
        <w:ind w:firstLine="640" w:firstLineChars="200"/>
        <w:outlineLvl w:val="2"/>
      </w:pPr>
      <w:r>
        <w:rPr>
          <w:rFonts w:hint="eastAsia"/>
        </w:rPr>
        <w:t>二、主要挑战</w:t>
      </w:r>
    </w:p>
    <w:p>
      <w:pPr>
        <w:widowControl w:val="0"/>
        <w:overflowPunct w:val="0"/>
        <w:snapToGrid/>
        <w:ind w:firstLine="640" w:firstLineChars="200"/>
      </w:pPr>
      <w:r>
        <w:rPr>
          <w:rFonts w:hint="eastAsia"/>
        </w:rPr>
        <w:t>中医医疗资源布局仍需优化。中西医并重方针没有完全落实到位，“以西律中”现象仍然存在，符合中医药发展规律的评价体系、评价标准尚不完善。中医药发展不平衡问题仍然突出，</w:t>
      </w:r>
      <w:r>
        <w:t>市级中医医疗机构龙头引领作用有待提升，</w:t>
      </w:r>
      <w:r>
        <w:rPr>
          <w:rFonts w:hint="eastAsia"/>
        </w:rPr>
        <w:t>空间布局有待优化，以</w:t>
      </w:r>
      <w:r>
        <w:t>中医药服务为主的办院模式和服务功能还需要</w:t>
      </w:r>
      <w:r>
        <w:rPr>
          <w:rFonts w:hint="eastAsia"/>
        </w:rPr>
        <w:t>进一步</w:t>
      </w:r>
      <w:r>
        <w:t>强化</w:t>
      </w:r>
      <w:r>
        <w:rPr>
          <w:rFonts w:hint="eastAsia"/>
        </w:rPr>
        <w:t>，</w:t>
      </w:r>
      <w:r>
        <w:rPr>
          <w:rFonts w:ascii="仿宋_GB2312" w:hAnsi="Calibri" w:cs="仿宋_GB2312"/>
          <w:szCs w:val="32"/>
          <w:lang w:bidi="ar"/>
        </w:rPr>
        <w:t>中医药服务能力与</w:t>
      </w:r>
      <w:r>
        <w:t>人民群众对中医药</w:t>
      </w:r>
      <w:r>
        <w:rPr>
          <w:rFonts w:ascii="仿宋_GB2312" w:hAnsi="Calibri" w:cs="仿宋_GB2312"/>
          <w:szCs w:val="32"/>
          <w:lang w:bidi="ar"/>
        </w:rPr>
        <w:t>健康服务的质量要求</w:t>
      </w:r>
      <w:r>
        <w:t>还有较大差距</w:t>
      </w:r>
      <w:r>
        <w:rPr>
          <w:rFonts w:hint="eastAsia"/>
        </w:rPr>
        <w:t>。</w:t>
      </w:r>
    </w:p>
    <w:p>
      <w:pPr>
        <w:widowControl w:val="0"/>
        <w:overflowPunct w:val="0"/>
        <w:snapToGrid/>
        <w:ind w:firstLine="640" w:firstLineChars="200"/>
      </w:pPr>
      <w:r>
        <w:rPr>
          <w:rFonts w:hint="eastAsia"/>
        </w:rPr>
        <w:t>中医药产业集约化发展程度不高。中医药与全市经济社会发展大局的融入度不足、贡献度不高，</w:t>
      </w:r>
      <w:r>
        <w:t>中药材种植规范化程度不高，</w:t>
      </w:r>
      <w:r>
        <w:rPr>
          <w:rFonts w:hint="eastAsia"/>
        </w:rPr>
        <w:t>中药生产加工企业产品市场竞争力和知名度不高。促进</w:t>
      </w:r>
      <w:r>
        <w:t>一、二、三产业</w:t>
      </w:r>
      <w:r>
        <w:rPr>
          <w:rFonts w:hint="eastAsia"/>
        </w:rPr>
        <w:t>发展</w:t>
      </w:r>
      <w:r>
        <w:t>分属多个部门，在规划</w:t>
      </w:r>
      <w:r>
        <w:rPr>
          <w:rFonts w:hint="eastAsia"/>
        </w:rPr>
        <w:t>制定</w:t>
      </w:r>
      <w:r>
        <w:t>、政策</w:t>
      </w:r>
      <w:r>
        <w:rPr>
          <w:rFonts w:hint="eastAsia"/>
        </w:rPr>
        <w:t>支持</w:t>
      </w:r>
      <w:r>
        <w:t>、资金</w:t>
      </w:r>
      <w:r>
        <w:rPr>
          <w:rFonts w:hint="eastAsia"/>
        </w:rPr>
        <w:t>投入</w:t>
      </w:r>
      <w:r>
        <w:t>等方面未充分形成合力。</w:t>
      </w:r>
    </w:p>
    <w:p>
      <w:pPr>
        <w:widowControl w:val="0"/>
        <w:overflowPunct w:val="0"/>
        <w:snapToGrid/>
        <w:ind w:firstLine="640" w:firstLineChars="200"/>
      </w:pPr>
      <w:r>
        <w:rPr>
          <w:rFonts w:hint="eastAsia"/>
        </w:rPr>
        <w:t>人才培育机制还不够健全，中医药从业人员总量不足、结构有待优化，在全国有影响力的高层次人才和创新团队匮乏，名老中医药专家学术经验传承亟需加强。</w:t>
      </w:r>
    </w:p>
    <w:p>
      <w:pPr>
        <w:widowControl w:val="0"/>
        <w:overflowPunct w:val="0"/>
        <w:snapToGrid/>
        <w:ind w:firstLine="640" w:firstLineChars="200"/>
        <w:rPr>
          <w:rFonts w:ascii="黑体" w:hAnsi="黑体" w:eastAsia="黑体"/>
        </w:rPr>
      </w:pPr>
      <w:r>
        <w:rPr>
          <w:rFonts w:hint="eastAsia"/>
        </w:rPr>
        <w:t>中医药科技创新机制不够完善，</w:t>
      </w:r>
      <w:bookmarkStart w:id="20" w:name="_Toc62809916"/>
      <w:bookmarkStart w:id="21" w:name="_Toc21973_WPSOffice_Level1"/>
      <w:r>
        <w:rPr>
          <w:rFonts w:hint="eastAsia"/>
        </w:rPr>
        <w:t>中医药成果共享性较差、转化率低、信息技术支撑和数据应用滞后，未能充分发挥科研成果应有的社会价值及经济价值，与践行新发展理念的公园城市示范区功能定位不匹配</w:t>
      </w:r>
      <w:r>
        <w:t>。</w:t>
      </w:r>
    </w:p>
    <w:p>
      <w:pPr>
        <w:widowControl w:val="0"/>
        <w:overflowPunct w:val="0"/>
        <w:snapToGrid/>
        <w:jc w:val="center"/>
        <w:outlineLvl w:val="0"/>
        <w:rPr>
          <w:rFonts w:ascii="黑体" w:hAnsi="黑体" w:eastAsia="黑体"/>
        </w:rPr>
      </w:pPr>
      <w:r>
        <w:rPr>
          <w:rFonts w:hint="eastAsia" w:ascii="黑体" w:hAnsi="黑体" w:eastAsia="黑体"/>
        </w:rPr>
        <w:t xml:space="preserve">第二章  </w:t>
      </w:r>
      <w:bookmarkEnd w:id="20"/>
      <w:r>
        <w:rPr>
          <w:rFonts w:ascii="黑体" w:hAnsi="黑体" w:eastAsia="黑体"/>
        </w:rPr>
        <w:t>总体要求</w:t>
      </w:r>
      <w:bookmarkEnd w:id="21"/>
    </w:p>
    <w:p>
      <w:pPr>
        <w:widowControl w:val="0"/>
        <w:overflowPunct w:val="0"/>
        <w:snapToGrid/>
        <w:jc w:val="center"/>
        <w:outlineLvl w:val="1"/>
        <w:rPr>
          <w:rFonts w:ascii="楷体_GB2312" w:eastAsia="楷体_GB2312"/>
        </w:rPr>
      </w:pPr>
      <w:bookmarkStart w:id="22" w:name="_Toc31107_WPSOffice_Level2"/>
      <w:bookmarkStart w:id="23" w:name="_Toc62809917"/>
      <w:r>
        <w:rPr>
          <w:rFonts w:hint="eastAsia" w:ascii="楷体_GB2312" w:eastAsia="楷体_GB2312"/>
        </w:rPr>
        <w:t>第一节 指导思想</w:t>
      </w:r>
      <w:bookmarkEnd w:id="22"/>
      <w:bookmarkEnd w:id="23"/>
    </w:p>
    <w:p>
      <w:pPr>
        <w:widowControl w:val="0"/>
        <w:overflowPunct w:val="0"/>
        <w:snapToGrid/>
        <w:ind w:firstLine="640" w:firstLineChars="200"/>
      </w:pPr>
      <w:r>
        <w:rPr>
          <w:rFonts w:hint="eastAsia"/>
        </w:rPr>
        <w:t>以习近平新时代中国特色社会主义思想为指导，全面落实习近平总书记关于中医药工作的重要论述和党中央国务院促进中医药传承创新发展的决策部署。坚持以人民健康为中心，紧紧把握成渝地区双城经济圈建设等国家战略机遇，彰显发展极核和“主干”作用，充分遵循中医药发展规律，促进中医药传承创新发展，为</w:t>
      </w:r>
      <w:r>
        <w:t>推进</w:t>
      </w:r>
      <w:r>
        <w:rPr>
          <w:rFonts w:hint="eastAsia"/>
        </w:rPr>
        <w:t>成都市中医药事业、产业、文化“三位一体”高质量发展，建设践行新发展理念的公园城市示范区贡献中医药</w:t>
      </w:r>
      <w:r>
        <w:t>力量。</w:t>
      </w:r>
    </w:p>
    <w:p>
      <w:pPr>
        <w:widowControl w:val="0"/>
        <w:overflowPunct w:val="0"/>
        <w:snapToGrid/>
        <w:jc w:val="center"/>
        <w:outlineLvl w:val="1"/>
        <w:rPr>
          <w:rFonts w:ascii="楷体_GB2312" w:eastAsia="楷体_GB2312"/>
        </w:rPr>
      </w:pPr>
      <w:bookmarkStart w:id="24" w:name="_Toc10192_WPSOffice_Level2"/>
      <w:bookmarkStart w:id="25" w:name="_Toc62809918"/>
      <w:r>
        <w:rPr>
          <w:rFonts w:hint="eastAsia" w:ascii="楷体_GB2312" w:eastAsia="楷体_GB2312"/>
        </w:rPr>
        <w:t>第二节  基本原则</w:t>
      </w:r>
      <w:bookmarkEnd w:id="24"/>
      <w:bookmarkEnd w:id="25"/>
    </w:p>
    <w:p>
      <w:pPr>
        <w:widowControl w:val="0"/>
        <w:overflowPunct w:val="0"/>
        <w:snapToGrid/>
        <w:ind w:firstLine="640" w:firstLineChars="200"/>
      </w:pPr>
      <w:r>
        <w:rPr>
          <w:rFonts w:hint="eastAsia"/>
        </w:rPr>
        <w:t>坚持党的</w:t>
      </w:r>
      <w:r>
        <w:t>全面</w:t>
      </w:r>
      <w:r>
        <w:rPr>
          <w:rFonts w:hint="eastAsia"/>
        </w:rPr>
        <w:t>领导。坚决贯彻落实党在</w:t>
      </w:r>
      <w:r>
        <w:t>中医药</w:t>
      </w:r>
      <w:r>
        <w:rPr>
          <w:rFonts w:hint="eastAsia"/>
        </w:rPr>
        <w:t>发展方面的方针政策、决策部署，坚持把党的领导落实到中医药创新发展各领域各方面各环节，为</w:t>
      </w:r>
      <w:r>
        <w:t>中医药</w:t>
      </w:r>
      <w:r>
        <w:rPr>
          <w:rFonts w:hint="eastAsia"/>
        </w:rPr>
        <w:t>事业改革发展提供坚强政治</w:t>
      </w:r>
      <w:r>
        <w:t>保障</w:t>
      </w:r>
      <w:r>
        <w:rPr>
          <w:rFonts w:hint="eastAsia"/>
        </w:rPr>
        <w:t>。</w:t>
      </w:r>
    </w:p>
    <w:p>
      <w:pPr>
        <w:widowControl w:val="0"/>
        <w:overflowPunct w:val="0"/>
        <w:snapToGrid/>
        <w:ind w:firstLine="640" w:firstLineChars="200"/>
      </w:pPr>
      <w:r>
        <w:rPr>
          <w:rFonts w:hint="eastAsia"/>
        </w:rPr>
        <w:t>坚持</w:t>
      </w:r>
      <w:r>
        <w:t>健康优先。</w:t>
      </w:r>
      <w:r>
        <w:rPr>
          <w:rFonts w:hint="eastAsia"/>
        </w:rPr>
        <w:t>把人民健康放在优先发展的战略地位，</w:t>
      </w:r>
      <w:r>
        <w:t xml:space="preserve"> </w:t>
      </w:r>
      <w:r>
        <w:rPr>
          <w:rFonts w:hint="eastAsia"/>
        </w:rPr>
        <w:t>以满足人民群众健康需求为出发点和落脚点，优化配置中医药资源，打通基层百姓看病就医难点、堵点，有效增强中医药服务的均衡可及性，增进人民群众健康福祉。</w:t>
      </w:r>
    </w:p>
    <w:p>
      <w:pPr>
        <w:widowControl w:val="0"/>
        <w:overflowPunct w:val="0"/>
        <w:snapToGrid/>
        <w:ind w:firstLine="640" w:firstLineChars="200"/>
      </w:pPr>
      <w:r>
        <w:rPr>
          <w:rFonts w:hint="eastAsia"/>
        </w:rPr>
        <w:t>坚持守正创新。传承中医药核心理念，强化中医药特色和优势，推动中医原创思维、中药资源优势与现代科学技术结合，促进中医药技术与产品创新，助推中医药振兴发展。</w:t>
      </w:r>
    </w:p>
    <w:p>
      <w:pPr>
        <w:widowControl w:val="0"/>
        <w:overflowPunct w:val="0"/>
        <w:snapToGrid/>
        <w:ind w:firstLine="640" w:firstLineChars="200"/>
      </w:pPr>
      <w:r>
        <w:rPr>
          <w:rFonts w:hint="eastAsia"/>
        </w:rPr>
        <w:t>坚持深化改革。坚持以改革创新激发</w:t>
      </w:r>
      <w:r>
        <w:t>中医药</w:t>
      </w:r>
      <w:r>
        <w:rPr>
          <w:rFonts w:hint="eastAsia"/>
        </w:rPr>
        <w:t>发展活力，深化中医药供给侧结构性改革，健全中医药管理体制，完善评价与激励机制，拓展中医药服务新领域，培育中医药产业发展新动能。</w:t>
      </w:r>
    </w:p>
    <w:p>
      <w:pPr>
        <w:widowControl w:val="0"/>
        <w:overflowPunct w:val="0"/>
        <w:snapToGrid/>
        <w:ind w:firstLine="640" w:firstLineChars="200"/>
        <w:rPr>
          <w:rFonts w:ascii="楷体_GB2312" w:eastAsia="楷体_GB2312"/>
        </w:rPr>
      </w:pPr>
      <w:r>
        <w:rPr>
          <w:rFonts w:hint="eastAsia"/>
        </w:rPr>
        <w:t>坚持</w:t>
      </w:r>
      <w:r>
        <w:t>开放</w:t>
      </w:r>
      <w:r>
        <w:rPr>
          <w:rFonts w:hint="eastAsia"/>
        </w:rPr>
        <w:t>合作。充分发挥“首位城市”引领作用，壮大成都都市圈及“五区协同”中医药一体化发展，紧紧抓住“一带一路”、成渝地区双城经济圈等国家战略政策机遇，将中医药发展全面融入“国际国内双循环”发展格局</w:t>
      </w:r>
      <w:r>
        <w:t>。</w:t>
      </w:r>
      <w:bookmarkStart w:id="26" w:name="_Toc956_WPSOffice_Level2"/>
    </w:p>
    <w:p>
      <w:pPr>
        <w:widowControl w:val="0"/>
        <w:overflowPunct w:val="0"/>
        <w:snapToGrid/>
        <w:jc w:val="center"/>
        <w:outlineLvl w:val="1"/>
        <w:rPr>
          <w:rFonts w:ascii="楷体_GB2312" w:eastAsia="楷体_GB2312"/>
        </w:rPr>
      </w:pPr>
      <w:r>
        <w:rPr>
          <w:rFonts w:hint="eastAsia" w:ascii="楷体_GB2312" w:eastAsia="楷体_GB2312"/>
        </w:rPr>
        <w:t>第三节  发展目标</w:t>
      </w:r>
      <w:bookmarkEnd w:id="26"/>
    </w:p>
    <w:p>
      <w:pPr>
        <w:widowControl w:val="0"/>
        <w:overflowPunct w:val="0"/>
        <w:snapToGrid/>
        <w:ind w:firstLine="640" w:firstLineChars="200"/>
      </w:pPr>
      <w:r>
        <w:t>基本</w:t>
      </w:r>
      <w:r>
        <w:rPr>
          <w:rFonts w:hint="eastAsia"/>
        </w:rPr>
        <w:t>建立健全</w:t>
      </w:r>
      <w:r>
        <w:t>的</w:t>
      </w:r>
      <w:r>
        <w:rPr>
          <w:rFonts w:hint="eastAsia"/>
        </w:rPr>
        <w:t>中医药传承创新发展机制。中医药事业、产业、文化加速融合发展。中医药科技创新能力显著增强，中医药产业规模和质量</w:t>
      </w:r>
      <w:r>
        <w:t>大幅提</w:t>
      </w:r>
      <w:r>
        <w:rPr>
          <w:rFonts w:hint="eastAsia"/>
        </w:rPr>
        <w:t>升，基本建成立足成都都市圈和成渝双城经济圈，服务西南、面向全国、辐射东南亚的中医药健康服务高地和中医药创新策源高地。</w:t>
      </w:r>
    </w:p>
    <w:p>
      <w:pPr>
        <w:widowControl w:val="0"/>
        <w:overflowPunct w:val="0"/>
        <w:snapToGrid/>
        <w:ind w:firstLine="640" w:firstLineChars="200"/>
      </w:pPr>
      <w:r>
        <w:rPr>
          <w:rFonts w:hint="eastAsia"/>
        </w:rPr>
        <w:t>——服务体系优化新布局</w:t>
      </w:r>
      <w:r>
        <w:t>。</w:t>
      </w:r>
      <w:r>
        <w:rPr>
          <w:rFonts w:hint="eastAsia"/>
        </w:rPr>
        <w:t>优质中医药服务体系得到均衡发展</w:t>
      </w:r>
      <w:r>
        <w:t>，基本实现优质中医药服务资源覆盖全市。市级中医医疗机构引领作用得到充分发挥</w:t>
      </w:r>
      <w:r>
        <w:rPr>
          <w:rFonts w:hint="eastAsia"/>
        </w:rPr>
        <w:t>，</w:t>
      </w:r>
      <w:r>
        <w:t>争创国</w:t>
      </w:r>
      <w:r>
        <w:rPr>
          <w:rFonts w:hint="eastAsia"/>
        </w:rPr>
        <w:t>家区域中医医疗中心。基本实现各区（市）县办中医医院全覆盖，二级及以上公立综合医院、妇幼保健院、专科医院均设置中医科。</w:t>
      </w:r>
    </w:p>
    <w:p>
      <w:pPr>
        <w:widowControl w:val="0"/>
        <w:overflowPunct w:val="0"/>
        <w:snapToGrid/>
        <w:ind w:firstLine="640" w:firstLineChars="200"/>
      </w:pPr>
      <w:r>
        <w:rPr>
          <w:rFonts w:hint="eastAsia"/>
        </w:rPr>
        <w:t>——服务能力提升新</w:t>
      </w:r>
      <w:r>
        <w:t>成效</w:t>
      </w:r>
      <w:r>
        <w:rPr>
          <w:rFonts w:hint="eastAsia"/>
        </w:rPr>
        <w:t>。建成融预防保健、疾病治疗和康复理疗于一体的中医药服务体系。中医药防治重大疾病能力、中医药治未病能力、中医药康复服务能力显著提升。</w:t>
      </w:r>
      <w:r>
        <w:t>基本建立</w:t>
      </w:r>
      <w:r>
        <w:rPr>
          <w:rFonts w:hint="eastAsia"/>
        </w:rPr>
        <w:t>区域协同、快速反应、保障有力的中医药应急体系。</w:t>
      </w:r>
    </w:p>
    <w:p>
      <w:pPr>
        <w:widowControl w:val="0"/>
        <w:overflowPunct w:val="0"/>
        <w:snapToGrid/>
        <w:ind w:firstLine="640" w:firstLineChars="200"/>
      </w:pPr>
      <w:r>
        <w:rPr>
          <w:rFonts w:hint="eastAsia"/>
        </w:rPr>
        <w:t>——人才</w:t>
      </w:r>
      <w:r>
        <w:t>队伍</w:t>
      </w:r>
      <w:r>
        <w:rPr>
          <w:rFonts w:hint="eastAsia"/>
        </w:rPr>
        <w:t>呈现新面貌</w:t>
      </w:r>
      <w:r>
        <w:t>。</w:t>
      </w:r>
      <w:r>
        <w:rPr>
          <w:rFonts w:hint="eastAsia"/>
        </w:rPr>
        <w:t>中医药人才培养和</w:t>
      </w:r>
      <w:r>
        <w:t>队伍</w:t>
      </w:r>
      <w:r>
        <w:rPr>
          <w:rFonts w:hint="eastAsia"/>
        </w:rPr>
        <w:t>建设</w:t>
      </w:r>
      <w:r>
        <w:t>进一步夯实</w:t>
      </w:r>
      <w:r>
        <w:rPr>
          <w:rFonts w:hint="eastAsia"/>
        </w:rPr>
        <w:t>，形成师承教育、院校教育、继续教育有机衔接的中医药人才培养体系和完善的中医药人才评价体系，人才总量稳步增长、结构持续优化，高层次人才和基层中医药服务人员数量居全国前列。</w:t>
      </w:r>
    </w:p>
    <w:p>
      <w:pPr>
        <w:widowControl w:val="0"/>
        <w:overflowPunct w:val="0"/>
        <w:snapToGrid/>
        <w:ind w:firstLine="640" w:firstLineChars="200"/>
      </w:pPr>
      <w:r>
        <w:rPr>
          <w:rFonts w:hint="eastAsia"/>
        </w:rPr>
        <w:t>——产业发展</w:t>
      </w:r>
      <w:r>
        <w:t>取得新突破。</w:t>
      </w:r>
      <w:r>
        <w:rPr>
          <w:rFonts w:hint="eastAsia"/>
        </w:rPr>
        <w:t>现代中药材种植（养殖）体系特色鲜明、结构合理、链条完整，中药工业集约化智能化高度发展，中药质量有效提升，核心竞争力和市场影响力显著增强，中医药养生保健、健康旅游等新业态不断丰富。</w:t>
      </w:r>
    </w:p>
    <w:p>
      <w:pPr>
        <w:widowControl w:val="0"/>
        <w:overflowPunct w:val="0"/>
        <w:snapToGrid/>
        <w:ind w:firstLine="640" w:firstLineChars="200"/>
      </w:pPr>
      <w:r>
        <w:rPr>
          <w:rFonts w:hint="eastAsia"/>
        </w:rPr>
        <w:t>——文化传承</w:t>
      </w:r>
      <w:r>
        <w:t>达到新水平。</w:t>
      </w:r>
      <w:r>
        <w:rPr>
          <w:rFonts w:hint="eastAsia"/>
        </w:rPr>
        <w:t>中医药文化传承体系基本健全，深度融入国民教育体系，中医药文化知识全面普及、深入人心、融入生活，公民中医药文化素养大幅提升。</w:t>
      </w:r>
    </w:p>
    <w:p>
      <w:pPr>
        <w:widowControl w:val="0"/>
        <w:overflowPunct w:val="0"/>
        <w:snapToGrid/>
        <w:ind w:firstLine="640" w:firstLineChars="200"/>
      </w:pPr>
      <w:r>
        <w:rPr>
          <w:rFonts w:hint="eastAsia"/>
        </w:rPr>
        <w:t>——开放</w:t>
      </w:r>
      <w:r>
        <w:t>创新实现新跨越</w:t>
      </w:r>
      <w:r>
        <w:rPr>
          <w:rFonts w:hint="eastAsia"/>
        </w:rPr>
        <w:t>。加速推进成渝地区双城经济圈及成德眉资中医药一体化发展。</w:t>
      </w:r>
      <w:r>
        <w:t>科技资源配置更加合理，</w:t>
      </w:r>
      <w:r>
        <w:rPr>
          <w:rFonts w:hint="eastAsia"/>
        </w:rPr>
        <w:t>创新活力加速释放，中医药信息化、现代化、智能化水平显著提升，成为中西部地区具有重要影响力的中医药创新集聚地。</w:t>
      </w:r>
    </w:p>
    <w:p>
      <w:pPr>
        <w:pStyle w:val="6"/>
      </w:pPr>
      <w:r>
        <w:br w:type="page"/>
      </w:r>
    </w:p>
    <w:tbl>
      <w:tblPr>
        <w:tblStyle w:val="15"/>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4900"/>
        <w:gridCol w:w="993"/>
        <w:gridCol w:w="1490"/>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08" w:type="dxa"/>
            <w:gridSpan w:val="5"/>
            <w:tcBorders>
              <w:top w:val="single" w:color="auto" w:sz="4" w:space="0"/>
              <w:left w:val="single" w:color="auto" w:sz="4" w:space="0"/>
              <w:bottom w:val="single" w:color="auto" w:sz="4" w:space="0"/>
              <w:right w:val="single" w:color="auto" w:sz="4" w:space="0"/>
            </w:tcBorders>
            <w:vAlign w:val="center"/>
          </w:tcPr>
          <w:p>
            <w:pPr>
              <w:widowControl w:val="0"/>
              <w:snapToGrid/>
              <w:spacing w:line="700" w:lineRule="exact"/>
              <w:jc w:val="center"/>
              <w:rPr>
                <w:rFonts w:eastAsia="方正小标宋_GBK"/>
                <w:szCs w:val="32"/>
              </w:rPr>
            </w:pPr>
            <w:r>
              <w:rPr>
                <w:rFonts w:hint="eastAsia" w:eastAsia="方正小标宋_GBK"/>
                <w:szCs w:val="32"/>
              </w:rPr>
              <w:t>专栏1</w:t>
            </w:r>
            <w:r>
              <w:rPr>
                <w:rFonts w:eastAsia="方正小标宋_GBK"/>
                <w:szCs w:val="32"/>
              </w:rPr>
              <w:t xml:space="preserve"> </w:t>
            </w:r>
            <w:r>
              <w:rPr>
                <w:rFonts w:hint="eastAsia" w:eastAsia="方正小标宋_GBK"/>
                <w:szCs w:val="32"/>
              </w:rPr>
              <w:t>“十四五”发展主要指标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rFonts w:ascii="黑体" w:hAnsi="黑体" w:eastAsia="黑体"/>
                <w:sz w:val="24"/>
                <w:szCs w:val="24"/>
              </w:rPr>
            </w:pPr>
            <w:r>
              <w:rPr>
                <w:rFonts w:hint="eastAsia" w:ascii="黑体" w:hAnsi="黑体" w:eastAsia="黑体"/>
                <w:sz w:val="24"/>
                <w:szCs w:val="24"/>
              </w:rPr>
              <w:t>类别</w:t>
            </w:r>
          </w:p>
        </w:tc>
        <w:tc>
          <w:tcPr>
            <w:tcW w:w="4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pacing w:line="240" w:lineRule="auto"/>
              <w:jc w:val="center"/>
              <w:rPr>
                <w:rFonts w:ascii="黑体" w:hAnsi="黑体" w:eastAsia="黑体"/>
                <w:sz w:val="24"/>
                <w:szCs w:val="24"/>
              </w:rPr>
            </w:pPr>
            <w:r>
              <w:rPr>
                <w:rFonts w:hint="eastAsia" w:ascii="黑体" w:hAnsi="黑体" w:eastAsia="黑体"/>
                <w:sz w:val="24"/>
                <w:szCs w:val="24"/>
              </w:rPr>
              <w:t>主要指标</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rFonts w:eastAsia="黑体"/>
                <w:sz w:val="24"/>
                <w:szCs w:val="24"/>
              </w:rPr>
            </w:pPr>
            <w:r>
              <w:rPr>
                <w:rFonts w:eastAsia="黑体"/>
                <w:sz w:val="24"/>
                <w:szCs w:val="24"/>
              </w:rPr>
              <w:t>2020年</w:t>
            </w:r>
          </w:p>
        </w:tc>
        <w:tc>
          <w:tcPr>
            <w:tcW w:w="14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rFonts w:eastAsia="黑体"/>
                <w:sz w:val="24"/>
                <w:szCs w:val="24"/>
              </w:rPr>
            </w:pPr>
            <w:r>
              <w:rPr>
                <w:rFonts w:eastAsia="黑体"/>
                <w:sz w:val="24"/>
                <w:szCs w:val="24"/>
              </w:rPr>
              <w:t>2025年目标</w:t>
            </w:r>
          </w:p>
        </w:tc>
        <w:tc>
          <w:tcPr>
            <w:tcW w:w="1009"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rFonts w:ascii="黑体" w:hAnsi="黑体" w:eastAsia="黑体"/>
                <w:sz w:val="24"/>
                <w:szCs w:val="24"/>
              </w:rPr>
            </w:pPr>
            <w:r>
              <w:rPr>
                <w:rFonts w:hint="eastAsia" w:ascii="黑体" w:hAnsi="黑体" w:eastAsia="黑体"/>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6" w:type="dxa"/>
            <w:vMerge w:val="restart"/>
            <w:tcBorders>
              <w:left w:val="single" w:color="auto" w:sz="4" w:space="0"/>
              <w:right w:val="single" w:color="auto" w:sz="4" w:space="0"/>
            </w:tcBorders>
            <w:vAlign w:val="center"/>
          </w:tcPr>
          <w:p>
            <w:pPr>
              <w:adjustRightInd w:val="0"/>
              <w:spacing w:line="240" w:lineRule="auto"/>
              <w:jc w:val="center"/>
              <w:rPr>
                <w:rFonts w:ascii="仿宋_GB2312" w:hAnsi="宋体"/>
                <w:sz w:val="24"/>
                <w:szCs w:val="24"/>
              </w:rPr>
            </w:pPr>
            <w:r>
              <w:rPr>
                <w:rFonts w:hint="eastAsia" w:ascii="仿宋_GB2312" w:hAnsi="宋体"/>
                <w:sz w:val="24"/>
                <w:szCs w:val="24"/>
              </w:rPr>
              <w:t>中医</w:t>
            </w:r>
          </w:p>
          <w:p>
            <w:pPr>
              <w:adjustRightInd w:val="0"/>
              <w:spacing w:line="240" w:lineRule="auto"/>
              <w:jc w:val="center"/>
              <w:rPr>
                <w:rFonts w:ascii="仿宋_GB2312" w:hAnsi="宋体"/>
                <w:sz w:val="24"/>
                <w:szCs w:val="24"/>
              </w:rPr>
            </w:pPr>
            <w:r>
              <w:rPr>
                <w:rFonts w:hint="eastAsia" w:ascii="仿宋_GB2312" w:hAnsi="宋体"/>
                <w:sz w:val="24"/>
                <w:szCs w:val="24"/>
              </w:rPr>
              <w:t>医疗</w:t>
            </w:r>
          </w:p>
          <w:p>
            <w:pPr>
              <w:adjustRightInd w:val="0"/>
              <w:spacing w:line="240" w:lineRule="auto"/>
              <w:jc w:val="center"/>
              <w:rPr>
                <w:rFonts w:ascii="仿宋_GB2312" w:hAnsi="宋体"/>
                <w:sz w:val="24"/>
                <w:szCs w:val="24"/>
              </w:rPr>
            </w:pPr>
            <w:r>
              <w:rPr>
                <w:rFonts w:hint="eastAsia" w:ascii="仿宋_GB2312" w:hAnsi="宋体"/>
                <w:sz w:val="24"/>
                <w:szCs w:val="24"/>
              </w:rPr>
              <w:t>资源</w:t>
            </w:r>
          </w:p>
        </w:tc>
        <w:tc>
          <w:tcPr>
            <w:tcW w:w="4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pacing w:line="240" w:lineRule="auto"/>
              <w:jc w:val="center"/>
              <w:rPr>
                <w:rFonts w:ascii="仿宋_GB2312"/>
                <w:sz w:val="24"/>
                <w:szCs w:val="24"/>
              </w:rPr>
            </w:pPr>
            <w:r>
              <w:rPr>
                <w:rFonts w:hint="eastAsia" w:ascii="仿宋_GB2312"/>
                <w:sz w:val="24"/>
                <w:szCs w:val="24"/>
              </w:rPr>
              <w:t>中医医院（所）</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sz w:val="24"/>
                <w:szCs w:val="24"/>
              </w:rPr>
            </w:pPr>
            <w:r>
              <w:rPr>
                <w:sz w:val="24"/>
                <w:szCs w:val="24"/>
              </w:rPr>
              <w:t>61</w:t>
            </w:r>
          </w:p>
        </w:tc>
        <w:tc>
          <w:tcPr>
            <w:tcW w:w="14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sz w:val="24"/>
                <w:szCs w:val="24"/>
              </w:rPr>
            </w:pPr>
            <w:r>
              <w:rPr>
                <w:sz w:val="24"/>
                <w:szCs w:val="24"/>
              </w:rPr>
              <w:t>90</w:t>
            </w:r>
          </w:p>
        </w:tc>
        <w:tc>
          <w:tcPr>
            <w:tcW w:w="1009" w:type="dxa"/>
            <w:tcBorders>
              <w:top w:val="single" w:color="auto" w:sz="4" w:space="0"/>
              <w:left w:val="nil"/>
              <w:bottom w:val="single" w:color="auto" w:sz="4" w:space="0"/>
              <w:right w:val="single" w:color="auto" w:sz="4" w:space="0"/>
            </w:tcBorders>
            <w:vAlign w:val="center"/>
          </w:tcPr>
          <w:p>
            <w:pPr>
              <w:adjustRightInd w:val="0"/>
              <w:spacing w:line="240" w:lineRule="auto"/>
              <w:jc w:val="center"/>
              <w:rPr>
                <w:rFonts w:ascii="仿宋_GB2312" w:hAnsi="宋体"/>
                <w:sz w:val="24"/>
                <w:szCs w:val="24"/>
              </w:rPr>
            </w:pPr>
            <w:r>
              <w:rPr>
                <w:rFonts w:hint="eastAsia" w:ascii="仿宋_GB2312" w:hAnsi="宋体"/>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6" w:type="dxa"/>
            <w:vMerge w:val="continue"/>
            <w:tcBorders>
              <w:left w:val="single" w:color="auto" w:sz="4" w:space="0"/>
              <w:right w:val="single" w:color="auto" w:sz="4" w:space="0"/>
            </w:tcBorders>
            <w:vAlign w:val="center"/>
          </w:tcPr>
          <w:p>
            <w:pPr>
              <w:adjustRightInd w:val="0"/>
              <w:spacing w:line="240" w:lineRule="auto"/>
              <w:jc w:val="center"/>
              <w:rPr>
                <w:rFonts w:ascii="仿宋_GB2312" w:hAnsi="宋体"/>
                <w:sz w:val="24"/>
                <w:szCs w:val="24"/>
              </w:rPr>
            </w:pPr>
          </w:p>
        </w:tc>
        <w:tc>
          <w:tcPr>
            <w:tcW w:w="4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pacing w:line="240" w:lineRule="auto"/>
              <w:jc w:val="center"/>
              <w:rPr>
                <w:rFonts w:ascii="仿宋_GB2312"/>
                <w:sz w:val="24"/>
                <w:szCs w:val="24"/>
              </w:rPr>
            </w:pPr>
            <w:r>
              <w:rPr>
                <w:rFonts w:hint="eastAsia" w:ascii="仿宋_GB2312"/>
                <w:sz w:val="24"/>
                <w:szCs w:val="24"/>
              </w:rPr>
              <w:t>每千人口中医类医院床位数（张）</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sz w:val="24"/>
                <w:szCs w:val="24"/>
              </w:rPr>
            </w:pPr>
            <w:r>
              <w:rPr>
                <w:color w:val="000000"/>
                <w:sz w:val="24"/>
                <w:szCs w:val="24"/>
              </w:rPr>
              <w:t>0.78</w:t>
            </w:r>
          </w:p>
        </w:tc>
        <w:tc>
          <w:tcPr>
            <w:tcW w:w="14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color w:val="FF0000"/>
                <w:sz w:val="24"/>
                <w:szCs w:val="24"/>
              </w:rPr>
            </w:pPr>
            <w:r>
              <w:rPr>
                <w:color w:val="000000"/>
                <w:sz w:val="24"/>
                <w:szCs w:val="24"/>
              </w:rPr>
              <w:t>0.98</w:t>
            </w:r>
          </w:p>
        </w:tc>
        <w:tc>
          <w:tcPr>
            <w:tcW w:w="1009" w:type="dxa"/>
            <w:tcBorders>
              <w:top w:val="single" w:color="auto" w:sz="4" w:space="0"/>
              <w:left w:val="nil"/>
              <w:bottom w:val="single" w:color="auto" w:sz="4" w:space="0"/>
              <w:right w:val="single" w:color="auto" w:sz="4" w:space="0"/>
            </w:tcBorders>
            <w:vAlign w:val="center"/>
          </w:tcPr>
          <w:p>
            <w:pPr>
              <w:adjustRightInd w:val="0"/>
              <w:spacing w:line="240" w:lineRule="auto"/>
              <w:jc w:val="center"/>
              <w:rPr>
                <w:rFonts w:ascii="仿宋_GB2312" w:hAnsi="宋体"/>
                <w:sz w:val="24"/>
                <w:szCs w:val="24"/>
              </w:rPr>
            </w:pPr>
            <w:r>
              <w:rPr>
                <w:rFonts w:hint="eastAsia" w:ascii="仿宋_GB2312" w:hAnsi="宋体"/>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6" w:type="dxa"/>
            <w:vMerge w:val="continue"/>
            <w:tcBorders>
              <w:left w:val="single" w:color="auto" w:sz="4" w:space="0"/>
              <w:right w:val="single" w:color="auto" w:sz="4" w:space="0"/>
            </w:tcBorders>
            <w:vAlign w:val="center"/>
          </w:tcPr>
          <w:p>
            <w:pPr>
              <w:adjustRightInd w:val="0"/>
              <w:spacing w:line="240" w:lineRule="auto"/>
              <w:jc w:val="center"/>
              <w:rPr>
                <w:rFonts w:ascii="仿宋_GB2312" w:hAnsi="宋体"/>
                <w:sz w:val="24"/>
                <w:szCs w:val="24"/>
              </w:rPr>
            </w:pPr>
          </w:p>
        </w:tc>
        <w:tc>
          <w:tcPr>
            <w:tcW w:w="4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pacing w:line="240" w:lineRule="auto"/>
              <w:jc w:val="center"/>
              <w:rPr>
                <w:rFonts w:ascii="仿宋_GB2312"/>
                <w:sz w:val="24"/>
                <w:szCs w:val="24"/>
              </w:rPr>
            </w:pPr>
            <w:r>
              <w:rPr>
                <w:rFonts w:hint="eastAsia" w:ascii="仿宋_GB2312"/>
                <w:sz w:val="24"/>
                <w:szCs w:val="24"/>
              </w:rPr>
              <w:t>每千人口中医类别执业（助理）医师数（人）</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sz w:val="24"/>
                <w:szCs w:val="24"/>
              </w:rPr>
            </w:pPr>
            <w:r>
              <w:rPr>
                <w:sz w:val="24"/>
                <w:szCs w:val="24"/>
              </w:rPr>
              <w:t>0.76</w:t>
            </w:r>
          </w:p>
        </w:tc>
        <w:tc>
          <w:tcPr>
            <w:tcW w:w="14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sz w:val="24"/>
                <w:szCs w:val="24"/>
              </w:rPr>
            </w:pPr>
            <w:r>
              <w:rPr>
                <w:sz w:val="24"/>
                <w:szCs w:val="24"/>
              </w:rPr>
              <w:t>0.92</w:t>
            </w:r>
          </w:p>
        </w:tc>
        <w:tc>
          <w:tcPr>
            <w:tcW w:w="1009" w:type="dxa"/>
            <w:tcBorders>
              <w:top w:val="single" w:color="auto" w:sz="4" w:space="0"/>
              <w:left w:val="nil"/>
              <w:bottom w:val="single" w:color="auto" w:sz="4" w:space="0"/>
              <w:right w:val="single" w:color="auto" w:sz="4" w:space="0"/>
            </w:tcBorders>
            <w:vAlign w:val="center"/>
          </w:tcPr>
          <w:p>
            <w:pPr>
              <w:adjustRightInd w:val="0"/>
              <w:spacing w:line="240" w:lineRule="auto"/>
              <w:jc w:val="center"/>
              <w:rPr>
                <w:rFonts w:ascii="仿宋_GB2312" w:hAnsi="宋体"/>
                <w:sz w:val="24"/>
                <w:szCs w:val="24"/>
              </w:rPr>
            </w:pPr>
            <w:r>
              <w:rPr>
                <w:rFonts w:hint="eastAsia" w:ascii="仿宋_GB2312" w:hAnsi="宋体"/>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6" w:type="dxa"/>
            <w:vMerge w:val="continue"/>
            <w:tcBorders>
              <w:left w:val="single" w:color="auto" w:sz="4" w:space="0"/>
              <w:right w:val="single" w:color="auto" w:sz="4" w:space="0"/>
            </w:tcBorders>
            <w:vAlign w:val="center"/>
          </w:tcPr>
          <w:p>
            <w:pPr>
              <w:adjustRightInd w:val="0"/>
              <w:spacing w:line="240" w:lineRule="auto"/>
              <w:jc w:val="center"/>
              <w:rPr>
                <w:rFonts w:ascii="仿宋_GB2312" w:hAnsi="宋体"/>
                <w:sz w:val="24"/>
                <w:szCs w:val="24"/>
              </w:rPr>
            </w:pPr>
          </w:p>
        </w:tc>
        <w:tc>
          <w:tcPr>
            <w:tcW w:w="4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40" w:lineRule="auto"/>
              <w:jc w:val="center"/>
              <w:rPr>
                <w:rFonts w:ascii="仿宋_GB2312"/>
                <w:sz w:val="24"/>
                <w:szCs w:val="24"/>
              </w:rPr>
            </w:pPr>
            <w:r>
              <w:rPr>
                <w:rFonts w:hint="eastAsia" w:ascii="仿宋_GB2312"/>
                <w:sz w:val="24"/>
                <w:szCs w:val="24"/>
              </w:rPr>
              <w:t>每</w:t>
            </w:r>
            <w:r>
              <w:rPr>
                <w:rFonts w:ascii="仿宋_GB2312"/>
                <w:sz w:val="24"/>
                <w:szCs w:val="24"/>
              </w:rPr>
              <w:t>万</w:t>
            </w:r>
            <w:r>
              <w:rPr>
                <w:rFonts w:hint="eastAsia" w:ascii="仿宋_GB2312"/>
                <w:sz w:val="24"/>
                <w:szCs w:val="24"/>
              </w:rPr>
              <w:t>人口中医类别全科医生数（人）</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color w:val="FF0000"/>
                <w:sz w:val="24"/>
                <w:szCs w:val="24"/>
              </w:rPr>
            </w:pPr>
            <w:r>
              <w:rPr>
                <w:color w:val="000000"/>
                <w:sz w:val="24"/>
                <w:szCs w:val="24"/>
              </w:rPr>
              <w:t>0.58</w:t>
            </w:r>
          </w:p>
        </w:tc>
        <w:tc>
          <w:tcPr>
            <w:tcW w:w="14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sz w:val="24"/>
                <w:szCs w:val="24"/>
              </w:rPr>
            </w:pPr>
            <w:r>
              <w:rPr>
                <w:sz w:val="24"/>
                <w:szCs w:val="24"/>
              </w:rPr>
              <w:t>0.8</w:t>
            </w:r>
          </w:p>
        </w:tc>
        <w:tc>
          <w:tcPr>
            <w:tcW w:w="1009" w:type="dxa"/>
            <w:tcBorders>
              <w:top w:val="single" w:color="auto" w:sz="4" w:space="0"/>
              <w:left w:val="nil"/>
              <w:bottom w:val="single" w:color="auto" w:sz="4" w:space="0"/>
              <w:right w:val="single" w:color="auto" w:sz="4" w:space="0"/>
            </w:tcBorders>
            <w:vAlign w:val="center"/>
          </w:tcPr>
          <w:p>
            <w:pPr>
              <w:adjustRightInd w:val="0"/>
              <w:spacing w:line="240" w:lineRule="auto"/>
              <w:jc w:val="center"/>
              <w:rPr>
                <w:rFonts w:ascii="仿宋_GB2312" w:hAnsi="宋体"/>
                <w:sz w:val="24"/>
                <w:szCs w:val="24"/>
              </w:rPr>
            </w:pPr>
            <w:r>
              <w:rPr>
                <w:rFonts w:hint="eastAsia" w:ascii="仿宋_GB2312" w:hAnsi="宋体"/>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6" w:type="dxa"/>
            <w:vMerge w:val="continue"/>
            <w:tcBorders>
              <w:left w:val="single" w:color="auto" w:sz="4" w:space="0"/>
              <w:right w:val="single" w:color="auto" w:sz="4" w:space="0"/>
            </w:tcBorders>
            <w:vAlign w:val="center"/>
          </w:tcPr>
          <w:p>
            <w:pPr>
              <w:adjustRightInd w:val="0"/>
              <w:spacing w:line="240" w:lineRule="auto"/>
              <w:jc w:val="center"/>
              <w:rPr>
                <w:rFonts w:ascii="仿宋_GB2312" w:hAnsi="宋体"/>
                <w:sz w:val="24"/>
                <w:szCs w:val="24"/>
              </w:rPr>
            </w:pPr>
          </w:p>
        </w:tc>
        <w:tc>
          <w:tcPr>
            <w:tcW w:w="4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pacing w:line="240" w:lineRule="auto"/>
              <w:jc w:val="center"/>
              <w:rPr>
                <w:rFonts w:ascii="仿宋_GB2312"/>
                <w:sz w:val="24"/>
                <w:szCs w:val="24"/>
              </w:rPr>
            </w:pPr>
            <w:r>
              <w:rPr>
                <w:rFonts w:hint="eastAsia" w:ascii="仿宋_GB2312"/>
                <w:sz w:val="24"/>
                <w:szCs w:val="24"/>
              </w:rPr>
              <w:t>二级以上公立中医医院中医类别执业</w:t>
            </w:r>
          </w:p>
          <w:p>
            <w:pPr>
              <w:adjustRightInd w:val="0"/>
              <w:spacing w:line="240" w:lineRule="auto"/>
              <w:jc w:val="center"/>
              <w:rPr>
                <w:rFonts w:ascii="仿宋_GB2312"/>
                <w:sz w:val="24"/>
                <w:szCs w:val="24"/>
              </w:rPr>
            </w:pPr>
            <w:r>
              <w:rPr>
                <w:rFonts w:hint="eastAsia" w:ascii="仿宋_GB2312"/>
                <w:sz w:val="24"/>
                <w:szCs w:val="24"/>
              </w:rPr>
              <w:t>(助理)医师比例(% )</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sz w:val="24"/>
                <w:szCs w:val="24"/>
              </w:rPr>
            </w:pPr>
            <w:r>
              <w:rPr>
                <w:sz w:val="24"/>
                <w:szCs w:val="24"/>
              </w:rPr>
              <w:t>52.34</w:t>
            </w:r>
          </w:p>
        </w:tc>
        <w:tc>
          <w:tcPr>
            <w:tcW w:w="14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sz w:val="24"/>
                <w:szCs w:val="24"/>
              </w:rPr>
            </w:pPr>
            <w:r>
              <w:rPr>
                <w:sz w:val="24"/>
                <w:szCs w:val="24"/>
              </w:rPr>
              <w:t>60</w:t>
            </w:r>
          </w:p>
        </w:tc>
        <w:tc>
          <w:tcPr>
            <w:tcW w:w="1009" w:type="dxa"/>
            <w:tcBorders>
              <w:top w:val="single" w:color="auto" w:sz="4" w:space="0"/>
              <w:left w:val="nil"/>
              <w:bottom w:val="single" w:color="auto" w:sz="4" w:space="0"/>
              <w:right w:val="single" w:color="auto" w:sz="4" w:space="0"/>
            </w:tcBorders>
            <w:vAlign w:val="center"/>
          </w:tcPr>
          <w:p>
            <w:pPr>
              <w:adjustRightInd w:val="0"/>
              <w:spacing w:line="240" w:lineRule="auto"/>
              <w:jc w:val="center"/>
              <w:rPr>
                <w:rFonts w:ascii="仿宋_GB2312" w:hAnsi="宋体"/>
                <w:sz w:val="24"/>
                <w:szCs w:val="24"/>
              </w:rPr>
            </w:pPr>
            <w:r>
              <w:rPr>
                <w:rFonts w:ascii="仿宋_GB2312" w:hAnsi="宋体"/>
                <w:sz w:val="24"/>
                <w:szCs w:val="24"/>
              </w:rPr>
              <w:t>约束</w:t>
            </w:r>
            <w:r>
              <w:rPr>
                <w:rFonts w:hint="eastAsia" w:ascii="仿宋_GB2312" w:hAnsi="宋体"/>
                <w:sz w:val="24"/>
                <w:szCs w:val="24"/>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6" w:type="dxa"/>
            <w:vMerge w:val="continue"/>
            <w:tcBorders>
              <w:left w:val="single" w:color="auto" w:sz="4" w:space="0"/>
              <w:right w:val="single" w:color="auto" w:sz="4" w:space="0"/>
            </w:tcBorders>
            <w:vAlign w:val="center"/>
          </w:tcPr>
          <w:p>
            <w:pPr>
              <w:adjustRightInd w:val="0"/>
              <w:spacing w:line="240" w:lineRule="auto"/>
              <w:jc w:val="center"/>
              <w:rPr>
                <w:rFonts w:ascii="仿宋_GB2312" w:hAnsi="宋体"/>
                <w:sz w:val="24"/>
                <w:szCs w:val="24"/>
              </w:rPr>
            </w:pPr>
          </w:p>
        </w:tc>
        <w:tc>
          <w:tcPr>
            <w:tcW w:w="4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pacing w:line="240" w:lineRule="auto"/>
              <w:jc w:val="center"/>
              <w:rPr>
                <w:rFonts w:ascii="仿宋_GB2312"/>
                <w:sz w:val="24"/>
                <w:szCs w:val="24"/>
              </w:rPr>
            </w:pPr>
            <w:r>
              <w:rPr>
                <w:rFonts w:hint="eastAsia" w:ascii="仿宋_GB2312"/>
                <w:sz w:val="24"/>
                <w:szCs w:val="24"/>
              </w:rPr>
              <w:t>二级及以上公立综合医院中医临床科室</w:t>
            </w:r>
          </w:p>
          <w:p>
            <w:pPr>
              <w:adjustRightInd w:val="0"/>
              <w:spacing w:line="240" w:lineRule="auto"/>
              <w:jc w:val="center"/>
              <w:rPr>
                <w:rFonts w:ascii="仿宋_GB2312"/>
                <w:sz w:val="24"/>
                <w:szCs w:val="24"/>
              </w:rPr>
            </w:pPr>
            <w:r>
              <w:rPr>
                <w:rFonts w:hint="eastAsia" w:ascii="仿宋_GB2312"/>
                <w:sz w:val="24"/>
                <w:szCs w:val="24"/>
              </w:rPr>
              <w:t>设置率（%）</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sz w:val="24"/>
                <w:szCs w:val="24"/>
              </w:rPr>
            </w:pPr>
            <w:r>
              <w:rPr>
                <w:sz w:val="24"/>
                <w:szCs w:val="24"/>
              </w:rPr>
              <w:t>93.44</w:t>
            </w:r>
          </w:p>
        </w:tc>
        <w:tc>
          <w:tcPr>
            <w:tcW w:w="14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sz w:val="24"/>
                <w:szCs w:val="24"/>
              </w:rPr>
            </w:pPr>
            <w:r>
              <w:rPr>
                <w:sz w:val="24"/>
                <w:szCs w:val="24"/>
              </w:rPr>
              <w:t>100</w:t>
            </w:r>
          </w:p>
        </w:tc>
        <w:tc>
          <w:tcPr>
            <w:tcW w:w="1009" w:type="dxa"/>
            <w:tcBorders>
              <w:top w:val="single" w:color="auto" w:sz="4" w:space="0"/>
              <w:left w:val="nil"/>
              <w:bottom w:val="single" w:color="auto" w:sz="4" w:space="0"/>
              <w:right w:val="single" w:color="auto" w:sz="4" w:space="0"/>
            </w:tcBorders>
            <w:vAlign w:val="center"/>
          </w:tcPr>
          <w:p>
            <w:pPr>
              <w:adjustRightInd w:val="0"/>
              <w:spacing w:line="240" w:lineRule="auto"/>
              <w:jc w:val="center"/>
              <w:rPr>
                <w:rFonts w:ascii="仿宋_GB2312" w:hAnsi="宋体"/>
                <w:sz w:val="24"/>
                <w:szCs w:val="24"/>
              </w:rPr>
            </w:pPr>
            <w:r>
              <w:rPr>
                <w:rFonts w:ascii="仿宋_GB2312" w:hAnsi="宋体"/>
                <w:sz w:val="24"/>
                <w:szCs w:val="24"/>
              </w:rPr>
              <w:t>约束</w:t>
            </w:r>
            <w:r>
              <w:rPr>
                <w:rFonts w:hint="eastAsia" w:ascii="仿宋_GB2312" w:hAnsi="宋体"/>
                <w:sz w:val="24"/>
                <w:szCs w:val="24"/>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6" w:type="dxa"/>
            <w:vMerge w:val="continue"/>
            <w:tcBorders>
              <w:left w:val="single" w:color="auto" w:sz="4" w:space="0"/>
              <w:right w:val="single" w:color="auto" w:sz="4" w:space="0"/>
            </w:tcBorders>
            <w:vAlign w:val="center"/>
          </w:tcPr>
          <w:p>
            <w:pPr>
              <w:adjustRightInd w:val="0"/>
              <w:spacing w:line="240" w:lineRule="auto"/>
              <w:jc w:val="center"/>
              <w:rPr>
                <w:rFonts w:ascii="仿宋_GB2312" w:hAnsi="宋体"/>
                <w:sz w:val="24"/>
                <w:szCs w:val="24"/>
              </w:rPr>
            </w:pPr>
          </w:p>
        </w:tc>
        <w:tc>
          <w:tcPr>
            <w:tcW w:w="4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pacing w:line="240" w:lineRule="auto"/>
              <w:jc w:val="center"/>
              <w:rPr>
                <w:rFonts w:ascii="仿宋_GB2312"/>
                <w:sz w:val="24"/>
                <w:szCs w:val="24"/>
              </w:rPr>
            </w:pPr>
            <w:r>
              <w:rPr>
                <w:rFonts w:hint="eastAsia" w:ascii="仿宋_GB2312"/>
                <w:sz w:val="24"/>
                <w:szCs w:val="24"/>
              </w:rPr>
              <w:t>二级及以上公立中医类医院设置治未病科的</w:t>
            </w:r>
          </w:p>
          <w:p>
            <w:pPr>
              <w:adjustRightInd w:val="0"/>
              <w:spacing w:line="240" w:lineRule="auto"/>
              <w:jc w:val="center"/>
              <w:rPr>
                <w:rFonts w:ascii="仿宋_GB2312"/>
                <w:sz w:val="24"/>
                <w:szCs w:val="24"/>
              </w:rPr>
            </w:pPr>
            <w:r>
              <w:rPr>
                <w:rFonts w:hint="eastAsia" w:ascii="仿宋_GB2312"/>
                <w:sz w:val="24"/>
                <w:szCs w:val="24"/>
              </w:rPr>
              <w:t>比例（%）</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sz w:val="24"/>
                <w:szCs w:val="24"/>
              </w:rPr>
            </w:pPr>
            <w:r>
              <w:rPr>
                <w:sz w:val="24"/>
                <w:szCs w:val="24"/>
              </w:rPr>
              <w:t>96</w:t>
            </w:r>
          </w:p>
        </w:tc>
        <w:tc>
          <w:tcPr>
            <w:tcW w:w="14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sz w:val="24"/>
                <w:szCs w:val="24"/>
              </w:rPr>
            </w:pPr>
            <w:r>
              <w:rPr>
                <w:sz w:val="24"/>
                <w:szCs w:val="24"/>
              </w:rPr>
              <w:t>100</w:t>
            </w:r>
          </w:p>
        </w:tc>
        <w:tc>
          <w:tcPr>
            <w:tcW w:w="1009" w:type="dxa"/>
            <w:tcBorders>
              <w:top w:val="single" w:color="auto" w:sz="4" w:space="0"/>
              <w:left w:val="nil"/>
              <w:bottom w:val="single" w:color="auto" w:sz="4" w:space="0"/>
              <w:right w:val="single" w:color="auto" w:sz="4" w:space="0"/>
            </w:tcBorders>
            <w:vAlign w:val="center"/>
          </w:tcPr>
          <w:p>
            <w:pPr>
              <w:adjustRightInd w:val="0"/>
              <w:spacing w:line="240" w:lineRule="auto"/>
              <w:jc w:val="center"/>
              <w:rPr>
                <w:rFonts w:ascii="仿宋_GB2312" w:hAnsi="宋体"/>
                <w:sz w:val="24"/>
                <w:szCs w:val="24"/>
              </w:rPr>
            </w:pPr>
            <w:r>
              <w:rPr>
                <w:rFonts w:hint="eastAsia" w:ascii="仿宋_GB2312" w:hAnsi="宋体"/>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6" w:type="dxa"/>
            <w:vMerge w:val="continue"/>
            <w:tcBorders>
              <w:left w:val="single" w:color="auto" w:sz="4" w:space="0"/>
              <w:right w:val="single" w:color="auto" w:sz="4" w:space="0"/>
            </w:tcBorders>
            <w:vAlign w:val="center"/>
          </w:tcPr>
          <w:p>
            <w:pPr>
              <w:adjustRightInd w:val="0"/>
              <w:spacing w:line="240" w:lineRule="auto"/>
              <w:jc w:val="center"/>
              <w:rPr>
                <w:rFonts w:ascii="仿宋_GB2312" w:hAnsi="宋体"/>
                <w:sz w:val="24"/>
                <w:szCs w:val="24"/>
              </w:rPr>
            </w:pPr>
          </w:p>
        </w:tc>
        <w:tc>
          <w:tcPr>
            <w:tcW w:w="4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pacing w:line="240" w:lineRule="auto"/>
              <w:jc w:val="center"/>
              <w:rPr>
                <w:rFonts w:ascii="仿宋_GB2312"/>
                <w:sz w:val="24"/>
                <w:szCs w:val="24"/>
              </w:rPr>
            </w:pPr>
            <w:r>
              <w:rPr>
                <w:rFonts w:hint="eastAsia" w:ascii="仿宋_GB2312"/>
                <w:sz w:val="24"/>
                <w:szCs w:val="24"/>
              </w:rPr>
              <w:t>二级及以上公立中医类医院设置</w:t>
            </w:r>
            <w:r>
              <w:rPr>
                <w:rFonts w:ascii="仿宋_GB2312"/>
                <w:sz w:val="24"/>
                <w:szCs w:val="24"/>
              </w:rPr>
              <w:t>康复</w:t>
            </w:r>
            <w:r>
              <w:rPr>
                <w:rFonts w:hint="eastAsia" w:ascii="仿宋_GB2312"/>
                <w:sz w:val="24"/>
                <w:szCs w:val="24"/>
              </w:rPr>
              <w:t>科的</w:t>
            </w:r>
          </w:p>
          <w:p>
            <w:pPr>
              <w:adjustRightInd w:val="0"/>
              <w:spacing w:line="240" w:lineRule="auto"/>
              <w:jc w:val="center"/>
              <w:rPr>
                <w:rFonts w:ascii="仿宋_GB2312"/>
                <w:sz w:val="24"/>
                <w:szCs w:val="24"/>
              </w:rPr>
            </w:pPr>
            <w:r>
              <w:rPr>
                <w:rFonts w:hint="eastAsia" w:ascii="仿宋_GB2312"/>
                <w:sz w:val="24"/>
                <w:szCs w:val="24"/>
              </w:rPr>
              <w:t>比例（%）</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sz w:val="24"/>
                <w:szCs w:val="24"/>
              </w:rPr>
            </w:pPr>
            <w:r>
              <w:rPr>
                <w:sz w:val="24"/>
                <w:szCs w:val="24"/>
              </w:rPr>
              <w:t>84.62</w:t>
            </w:r>
          </w:p>
        </w:tc>
        <w:tc>
          <w:tcPr>
            <w:tcW w:w="14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sz w:val="24"/>
                <w:szCs w:val="24"/>
              </w:rPr>
            </w:pPr>
            <w:r>
              <w:rPr>
                <w:sz w:val="24"/>
                <w:szCs w:val="24"/>
              </w:rPr>
              <w:t>95</w:t>
            </w:r>
          </w:p>
        </w:tc>
        <w:tc>
          <w:tcPr>
            <w:tcW w:w="1009" w:type="dxa"/>
            <w:tcBorders>
              <w:top w:val="single" w:color="auto" w:sz="4" w:space="0"/>
              <w:left w:val="nil"/>
              <w:bottom w:val="single" w:color="auto" w:sz="4" w:space="0"/>
              <w:right w:val="single" w:color="auto" w:sz="4" w:space="0"/>
            </w:tcBorders>
            <w:vAlign w:val="center"/>
          </w:tcPr>
          <w:p>
            <w:pPr>
              <w:adjustRightInd w:val="0"/>
              <w:spacing w:line="240" w:lineRule="auto"/>
              <w:jc w:val="center"/>
              <w:rPr>
                <w:rFonts w:ascii="仿宋_GB2312" w:hAnsi="宋体"/>
                <w:sz w:val="24"/>
                <w:szCs w:val="24"/>
              </w:rPr>
            </w:pPr>
            <w:r>
              <w:rPr>
                <w:rFonts w:hint="eastAsia" w:ascii="仿宋_GB2312" w:hAnsi="宋体"/>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6" w:type="dxa"/>
            <w:vMerge w:val="continue"/>
            <w:tcBorders>
              <w:left w:val="single" w:color="auto" w:sz="4" w:space="0"/>
              <w:right w:val="single" w:color="auto" w:sz="4" w:space="0"/>
            </w:tcBorders>
            <w:vAlign w:val="center"/>
          </w:tcPr>
          <w:p>
            <w:pPr>
              <w:adjustRightInd w:val="0"/>
              <w:spacing w:line="240" w:lineRule="auto"/>
              <w:jc w:val="center"/>
              <w:rPr>
                <w:rFonts w:ascii="仿宋_GB2312" w:hAnsi="宋体"/>
                <w:sz w:val="24"/>
                <w:szCs w:val="24"/>
              </w:rPr>
            </w:pPr>
          </w:p>
        </w:tc>
        <w:tc>
          <w:tcPr>
            <w:tcW w:w="4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pacing w:line="240" w:lineRule="auto"/>
              <w:jc w:val="center"/>
              <w:rPr>
                <w:rFonts w:ascii="仿宋_GB2312"/>
                <w:sz w:val="24"/>
                <w:szCs w:val="24"/>
              </w:rPr>
            </w:pPr>
            <w:r>
              <w:rPr>
                <w:rFonts w:hint="eastAsia" w:ascii="仿宋_GB2312"/>
                <w:sz w:val="24"/>
                <w:szCs w:val="24"/>
              </w:rPr>
              <w:t>二级及以上公立中医类医院设置</w:t>
            </w:r>
            <w:r>
              <w:rPr>
                <w:rFonts w:ascii="仿宋_GB2312"/>
                <w:sz w:val="24"/>
                <w:szCs w:val="24"/>
              </w:rPr>
              <w:t>老年</w:t>
            </w:r>
            <w:r>
              <w:rPr>
                <w:rFonts w:hint="eastAsia" w:ascii="仿宋_GB2312"/>
                <w:sz w:val="24"/>
                <w:szCs w:val="24"/>
              </w:rPr>
              <w:t>科的</w:t>
            </w:r>
          </w:p>
          <w:p>
            <w:pPr>
              <w:adjustRightInd w:val="0"/>
              <w:spacing w:line="240" w:lineRule="auto"/>
              <w:jc w:val="center"/>
              <w:rPr>
                <w:rFonts w:ascii="仿宋_GB2312"/>
                <w:sz w:val="24"/>
                <w:szCs w:val="24"/>
              </w:rPr>
            </w:pPr>
            <w:r>
              <w:rPr>
                <w:rFonts w:hint="eastAsia" w:ascii="仿宋_GB2312"/>
                <w:sz w:val="24"/>
                <w:szCs w:val="24"/>
              </w:rPr>
              <w:t>比例（%）</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sz w:val="24"/>
                <w:szCs w:val="24"/>
              </w:rPr>
            </w:pPr>
            <w:r>
              <w:rPr>
                <w:sz w:val="24"/>
                <w:szCs w:val="24"/>
              </w:rPr>
              <w:t>64.10</w:t>
            </w:r>
          </w:p>
        </w:tc>
        <w:tc>
          <w:tcPr>
            <w:tcW w:w="14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sz w:val="24"/>
                <w:szCs w:val="24"/>
              </w:rPr>
            </w:pPr>
            <w:r>
              <w:rPr>
                <w:sz w:val="24"/>
                <w:szCs w:val="24"/>
              </w:rPr>
              <w:t>80</w:t>
            </w:r>
          </w:p>
        </w:tc>
        <w:tc>
          <w:tcPr>
            <w:tcW w:w="1009" w:type="dxa"/>
            <w:tcBorders>
              <w:top w:val="single" w:color="auto" w:sz="4" w:space="0"/>
              <w:left w:val="nil"/>
              <w:bottom w:val="single" w:color="auto" w:sz="4" w:space="0"/>
              <w:right w:val="single" w:color="auto" w:sz="4" w:space="0"/>
            </w:tcBorders>
            <w:vAlign w:val="center"/>
          </w:tcPr>
          <w:p>
            <w:pPr>
              <w:adjustRightInd w:val="0"/>
              <w:spacing w:line="240" w:lineRule="auto"/>
              <w:jc w:val="center"/>
              <w:rPr>
                <w:rFonts w:ascii="仿宋_GB2312" w:hAnsi="宋体"/>
                <w:sz w:val="24"/>
                <w:szCs w:val="24"/>
              </w:rPr>
            </w:pPr>
            <w:r>
              <w:rPr>
                <w:rFonts w:hint="eastAsia" w:ascii="仿宋_GB2312" w:hAnsi="宋体"/>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6" w:type="dxa"/>
            <w:vMerge w:val="restart"/>
            <w:tcBorders>
              <w:top w:val="single" w:color="auto" w:sz="4" w:space="0"/>
              <w:left w:val="single" w:color="auto" w:sz="4" w:space="0"/>
              <w:right w:val="single" w:color="auto" w:sz="4" w:space="0"/>
            </w:tcBorders>
            <w:vAlign w:val="center"/>
          </w:tcPr>
          <w:p>
            <w:pPr>
              <w:adjustRightInd w:val="0"/>
              <w:spacing w:line="240" w:lineRule="auto"/>
              <w:jc w:val="center"/>
              <w:rPr>
                <w:rFonts w:ascii="仿宋_GB2312" w:hAnsi="宋体"/>
                <w:sz w:val="24"/>
                <w:szCs w:val="24"/>
              </w:rPr>
            </w:pPr>
            <w:r>
              <w:rPr>
                <w:rFonts w:hint="eastAsia" w:ascii="仿宋_GB2312" w:hAnsi="宋体"/>
                <w:sz w:val="24"/>
                <w:szCs w:val="24"/>
              </w:rPr>
              <w:t>中医药服务</w:t>
            </w:r>
          </w:p>
        </w:tc>
        <w:tc>
          <w:tcPr>
            <w:tcW w:w="4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pacing w:line="240" w:lineRule="auto"/>
              <w:jc w:val="center"/>
              <w:rPr>
                <w:rFonts w:ascii="仿宋_GB2312"/>
                <w:sz w:val="24"/>
                <w:szCs w:val="24"/>
              </w:rPr>
            </w:pPr>
            <w:r>
              <w:rPr>
                <w:rFonts w:hint="eastAsia" w:ascii="仿宋_GB2312"/>
                <w:sz w:val="24"/>
                <w:szCs w:val="24"/>
              </w:rPr>
              <w:t>中医诊疗人次占总诊疗人次比重（%）</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sz w:val="24"/>
                <w:szCs w:val="24"/>
              </w:rPr>
            </w:pPr>
            <w:r>
              <w:rPr>
                <w:sz w:val="24"/>
                <w:szCs w:val="24"/>
              </w:rPr>
              <w:t>15.79</w:t>
            </w:r>
          </w:p>
        </w:tc>
        <w:tc>
          <w:tcPr>
            <w:tcW w:w="14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sz w:val="24"/>
                <w:szCs w:val="24"/>
              </w:rPr>
            </w:pPr>
            <w:r>
              <w:rPr>
                <w:sz w:val="24"/>
                <w:szCs w:val="24"/>
              </w:rPr>
              <w:t>20</w:t>
            </w:r>
          </w:p>
        </w:tc>
        <w:tc>
          <w:tcPr>
            <w:tcW w:w="1009" w:type="dxa"/>
            <w:tcBorders>
              <w:top w:val="single" w:color="auto" w:sz="4" w:space="0"/>
              <w:left w:val="nil"/>
              <w:bottom w:val="single" w:color="auto" w:sz="4" w:space="0"/>
              <w:right w:val="single" w:color="auto" w:sz="4" w:space="0"/>
            </w:tcBorders>
            <w:vAlign w:val="center"/>
          </w:tcPr>
          <w:p>
            <w:pPr>
              <w:widowControl w:val="0"/>
              <w:adjustRightInd w:val="0"/>
              <w:spacing w:line="240" w:lineRule="auto"/>
              <w:jc w:val="center"/>
              <w:rPr>
                <w:rFonts w:ascii="仿宋_GB2312" w:hAnsi="宋体"/>
                <w:sz w:val="24"/>
                <w:szCs w:val="24"/>
              </w:rPr>
            </w:pPr>
            <w:r>
              <w:rPr>
                <w:rFonts w:hint="eastAsia" w:ascii="仿宋_GB2312" w:hAnsi="宋体"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6" w:type="dxa"/>
            <w:vMerge w:val="continue"/>
            <w:tcBorders>
              <w:left w:val="single" w:color="auto" w:sz="4" w:space="0"/>
              <w:right w:val="single" w:color="auto" w:sz="4" w:space="0"/>
            </w:tcBorders>
            <w:vAlign w:val="center"/>
          </w:tcPr>
          <w:p>
            <w:pPr>
              <w:adjustRightInd w:val="0"/>
              <w:spacing w:line="240" w:lineRule="auto"/>
              <w:jc w:val="center"/>
              <w:rPr>
                <w:rFonts w:ascii="仿宋_GB2312" w:hAnsi="宋体"/>
                <w:sz w:val="24"/>
                <w:szCs w:val="24"/>
              </w:rPr>
            </w:pPr>
          </w:p>
        </w:tc>
        <w:tc>
          <w:tcPr>
            <w:tcW w:w="4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pacing w:line="240" w:lineRule="auto"/>
              <w:jc w:val="center"/>
              <w:rPr>
                <w:rFonts w:ascii="仿宋_GB2312"/>
                <w:sz w:val="24"/>
                <w:szCs w:val="24"/>
              </w:rPr>
            </w:pPr>
            <w:r>
              <w:rPr>
                <w:rFonts w:hint="eastAsia" w:ascii="仿宋_GB2312"/>
                <w:sz w:val="24"/>
                <w:szCs w:val="24"/>
              </w:rPr>
              <w:t>中医类医院出院人数占医院出院人数</w:t>
            </w:r>
          </w:p>
          <w:p>
            <w:pPr>
              <w:adjustRightInd w:val="0"/>
              <w:spacing w:line="240" w:lineRule="auto"/>
              <w:jc w:val="center"/>
              <w:rPr>
                <w:rFonts w:ascii="仿宋_GB2312"/>
                <w:sz w:val="24"/>
                <w:szCs w:val="24"/>
              </w:rPr>
            </w:pPr>
            <w:r>
              <w:rPr>
                <w:rFonts w:hint="eastAsia" w:ascii="仿宋_GB2312"/>
                <w:sz w:val="24"/>
                <w:szCs w:val="24"/>
              </w:rPr>
              <w:t>比重（%）</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sz w:val="24"/>
                <w:szCs w:val="24"/>
              </w:rPr>
            </w:pPr>
            <w:r>
              <w:rPr>
                <w:sz w:val="24"/>
                <w:szCs w:val="24"/>
              </w:rPr>
              <w:t>16.14</w:t>
            </w:r>
          </w:p>
        </w:tc>
        <w:tc>
          <w:tcPr>
            <w:tcW w:w="14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sz w:val="24"/>
                <w:szCs w:val="24"/>
              </w:rPr>
            </w:pPr>
            <w:r>
              <w:rPr>
                <w:sz w:val="24"/>
                <w:szCs w:val="24"/>
              </w:rPr>
              <w:t>18</w:t>
            </w:r>
          </w:p>
        </w:tc>
        <w:tc>
          <w:tcPr>
            <w:tcW w:w="1009" w:type="dxa"/>
            <w:tcBorders>
              <w:top w:val="single" w:color="auto" w:sz="4" w:space="0"/>
              <w:left w:val="nil"/>
              <w:bottom w:val="single" w:color="auto" w:sz="4" w:space="0"/>
              <w:right w:val="single" w:color="auto" w:sz="4" w:space="0"/>
            </w:tcBorders>
            <w:vAlign w:val="center"/>
          </w:tcPr>
          <w:p>
            <w:pPr>
              <w:widowControl w:val="0"/>
              <w:adjustRightInd w:val="0"/>
              <w:spacing w:line="240" w:lineRule="auto"/>
              <w:jc w:val="center"/>
              <w:rPr>
                <w:rFonts w:ascii="仿宋_GB2312" w:hAnsi="宋体"/>
                <w:sz w:val="24"/>
                <w:szCs w:val="24"/>
              </w:rPr>
            </w:pPr>
            <w:r>
              <w:rPr>
                <w:rFonts w:hint="eastAsia" w:ascii="仿宋_GB2312" w:hAnsi="宋体"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6" w:type="dxa"/>
            <w:vMerge w:val="continue"/>
            <w:tcBorders>
              <w:left w:val="single" w:color="auto" w:sz="4" w:space="0"/>
              <w:right w:val="single" w:color="auto" w:sz="4" w:space="0"/>
            </w:tcBorders>
            <w:vAlign w:val="center"/>
          </w:tcPr>
          <w:p>
            <w:pPr>
              <w:adjustRightInd w:val="0"/>
              <w:spacing w:line="240" w:lineRule="auto"/>
              <w:jc w:val="center"/>
              <w:rPr>
                <w:rFonts w:ascii="仿宋_GB2312" w:hAnsi="宋体"/>
                <w:sz w:val="24"/>
                <w:szCs w:val="24"/>
              </w:rPr>
            </w:pPr>
          </w:p>
        </w:tc>
        <w:tc>
          <w:tcPr>
            <w:tcW w:w="4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val="0"/>
              <w:adjustRightInd w:val="0"/>
              <w:spacing w:line="240" w:lineRule="auto"/>
              <w:jc w:val="center"/>
              <w:rPr>
                <w:rFonts w:ascii="仿宋_GB2312"/>
                <w:sz w:val="24"/>
                <w:szCs w:val="24"/>
              </w:rPr>
            </w:pPr>
            <w:r>
              <w:rPr>
                <w:rFonts w:hint="eastAsia"/>
                <w:sz w:val="24"/>
                <w:szCs w:val="24"/>
              </w:rPr>
              <w:t>65</w:t>
            </w:r>
            <w:r>
              <w:rPr>
                <w:rFonts w:hint="eastAsia" w:ascii="仿宋_GB2312"/>
                <w:sz w:val="24"/>
                <w:szCs w:val="24"/>
              </w:rPr>
              <w:t>岁以上老年人中医药健康管理服务率（%）</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sz w:val="24"/>
                <w:szCs w:val="24"/>
              </w:rPr>
            </w:pPr>
            <w:r>
              <w:rPr>
                <w:sz w:val="24"/>
                <w:szCs w:val="24"/>
              </w:rPr>
              <w:t>70.85</w:t>
            </w:r>
          </w:p>
        </w:tc>
        <w:tc>
          <w:tcPr>
            <w:tcW w:w="14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sz w:val="24"/>
                <w:szCs w:val="24"/>
              </w:rPr>
            </w:pPr>
            <w:r>
              <w:rPr>
                <w:sz w:val="24"/>
                <w:szCs w:val="24"/>
              </w:rPr>
              <w:t>80</w:t>
            </w:r>
          </w:p>
        </w:tc>
        <w:tc>
          <w:tcPr>
            <w:tcW w:w="1009" w:type="dxa"/>
            <w:tcBorders>
              <w:top w:val="single" w:color="auto" w:sz="4" w:space="0"/>
              <w:left w:val="nil"/>
              <w:bottom w:val="single" w:color="auto" w:sz="4" w:space="0"/>
              <w:right w:val="single" w:color="auto" w:sz="4" w:space="0"/>
            </w:tcBorders>
            <w:vAlign w:val="center"/>
          </w:tcPr>
          <w:p>
            <w:pPr>
              <w:widowControl w:val="0"/>
              <w:adjustRightInd w:val="0"/>
              <w:spacing w:line="240" w:lineRule="auto"/>
              <w:jc w:val="center"/>
              <w:rPr>
                <w:rFonts w:ascii="仿宋_GB2312" w:hAnsi="宋体"/>
                <w:sz w:val="24"/>
                <w:szCs w:val="24"/>
              </w:rPr>
            </w:pPr>
            <w:r>
              <w:rPr>
                <w:rFonts w:hint="eastAsia" w:ascii="仿宋_GB2312" w:hAnsi="宋体"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6" w:type="dxa"/>
            <w:vMerge w:val="continue"/>
            <w:tcBorders>
              <w:left w:val="single" w:color="auto" w:sz="4" w:space="0"/>
              <w:right w:val="single" w:color="auto" w:sz="4" w:space="0"/>
            </w:tcBorders>
            <w:vAlign w:val="center"/>
          </w:tcPr>
          <w:p>
            <w:pPr>
              <w:adjustRightInd w:val="0"/>
              <w:spacing w:line="240" w:lineRule="auto"/>
              <w:jc w:val="center"/>
              <w:rPr>
                <w:rFonts w:ascii="仿宋_GB2312" w:hAnsi="宋体"/>
                <w:sz w:val="24"/>
                <w:szCs w:val="24"/>
              </w:rPr>
            </w:pPr>
          </w:p>
        </w:tc>
        <w:tc>
          <w:tcPr>
            <w:tcW w:w="4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pacing w:line="240" w:lineRule="auto"/>
              <w:jc w:val="center"/>
              <w:rPr>
                <w:rFonts w:ascii="仿宋_GB2312"/>
                <w:sz w:val="24"/>
                <w:szCs w:val="24"/>
              </w:rPr>
            </w:pPr>
            <w:r>
              <w:rPr>
                <w:sz w:val="24"/>
                <w:szCs w:val="24"/>
              </w:rPr>
              <w:t>0～3</w:t>
            </w:r>
            <w:r>
              <w:rPr>
                <w:rFonts w:hint="eastAsia" w:ascii="仿宋_GB2312"/>
                <w:sz w:val="24"/>
                <w:szCs w:val="24"/>
              </w:rPr>
              <w:t>岁儿童中医药健康管理服务率（%）</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sz w:val="24"/>
                <w:szCs w:val="24"/>
              </w:rPr>
            </w:pPr>
            <w:r>
              <w:rPr>
                <w:sz w:val="24"/>
                <w:szCs w:val="24"/>
              </w:rPr>
              <w:t>80.85</w:t>
            </w:r>
          </w:p>
        </w:tc>
        <w:tc>
          <w:tcPr>
            <w:tcW w:w="14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sz w:val="24"/>
                <w:szCs w:val="24"/>
              </w:rPr>
            </w:pPr>
            <w:r>
              <w:rPr>
                <w:sz w:val="24"/>
                <w:szCs w:val="24"/>
              </w:rPr>
              <w:t>90</w:t>
            </w:r>
          </w:p>
        </w:tc>
        <w:tc>
          <w:tcPr>
            <w:tcW w:w="1009" w:type="dxa"/>
            <w:tcBorders>
              <w:top w:val="single" w:color="auto" w:sz="4" w:space="0"/>
              <w:left w:val="nil"/>
              <w:bottom w:val="single" w:color="auto" w:sz="4" w:space="0"/>
              <w:right w:val="single" w:color="auto" w:sz="4" w:space="0"/>
            </w:tcBorders>
            <w:vAlign w:val="center"/>
          </w:tcPr>
          <w:p>
            <w:pPr>
              <w:widowControl w:val="0"/>
              <w:adjustRightInd w:val="0"/>
              <w:spacing w:line="240" w:lineRule="auto"/>
              <w:jc w:val="center"/>
              <w:rPr>
                <w:rFonts w:ascii="仿宋_GB2312" w:hAnsi="宋体"/>
                <w:sz w:val="24"/>
                <w:szCs w:val="24"/>
              </w:rPr>
            </w:pPr>
            <w:r>
              <w:rPr>
                <w:rFonts w:hint="eastAsia" w:ascii="仿宋_GB2312" w:hAnsi="宋体" w:cs="仿宋_GB231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6" w:type="dxa"/>
            <w:vMerge w:val="continue"/>
            <w:tcBorders>
              <w:left w:val="single" w:color="auto" w:sz="4" w:space="0"/>
              <w:right w:val="single" w:color="auto" w:sz="4" w:space="0"/>
            </w:tcBorders>
            <w:vAlign w:val="center"/>
          </w:tcPr>
          <w:p>
            <w:pPr>
              <w:adjustRightInd w:val="0"/>
              <w:spacing w:line="240" w:lineRule="auto"/>
              <w:jc w:val="center"/>
              <w:rPr>
                <w:rFonts w:ascii="仿宋_GB2312" w:hAnsi="宋体"/>
                <w:sz w:val="24"/>
                <w:szCs w:val="24"/>
              </w:rPr>
            </w:pPr>
          </w:p>
        </w:tc>
        <w:tc>
          <w:tcPr>
            <w:tcW w:w="4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pacing w:line="240" w:lineRule="auto"/>
              <w:jc w:val="center"/>
              <w:rPr>
                <w:rFonts w:ascii="仿宋_GB2312"/>
                <w:color w:val="000000"/>
                <w:sz w:val="24"/>
                <w:szCs w:val="24"/>
              </w:rPr>
            </w:pPr>
            <w:r>
              <w:rPr>
                <w:rFonts w:hint="eastAsia" w:ascii="仿宋_GB2312"/>
                <w:color w:val="000000"/>
                <w:sz w:val="24"/>
                <w:szCs w:val="24"/>
              </w:rPr>
              <w:t>基层中医药服务量（%）</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color w:val="000000"/>
                <w:sz w:val="24"/>
                <w:szCs w:val="24"/>
              </w:rPr>
            </w:pPr>
            <w:r>
              <w:rPr>
                <w:color w:val="000000"/>
                <w:sz w:val="24"/>
                <w:szCs w:val="24"/>
              </w:rPr>
              <w:t>54．60</w:t>
            </w:r>
          </w:p>
        </w:tc>
        <w:tc>
          <w:tcPr>
            <w:tcW w:w="14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color w:val="000000"/>
                <w:sz w:val="24"/>
                <w:szCs w:val="24"/>
              </w:rPr>
            </w:pPr>
            <w:r>
              <w:rPr>
                <w:color w:val="000000"/>
                <w:sz w:val="24"/>
                <w:szCs w:val="24"/>
              </w:rPr>
              <w:t>55</w:t>
            </w:r>
          </w:p>
        </w:tc>
        <w:tc>
          <w:tcPr>
            <w:tcW w:w="1009" w:type="dxa"/>
            <w:tcBorders>
              <w:top w:val="single" w:color="auto" w:sz="4" w:space="0"/>
              <w:left w:val="nil"/>
              <w:bottom w:val="single" w:color="auto" w:sz="4" w:space="0"/>
              <w:right w:val="single" w:color="auto" w:sz="4" w:space="0"/>
            </w:tcBorders>
            <w:vAlign w:val="center"/>
          </w:tcPr>
          <w:p>
            <w:pPr>
              <w:adjustRightInd w:val="0"/>
              <w:spacing w:line="240" w:lineRule="auto"/>
              <w:jc w:val="center"/>
              <w:rPr>
                <w:rFonts w:ascii="仿宋_GB2312"/>
                <w:color w:val="000000"/>
                <w:sz w:val="24"/>
                <w:szCs w:val="24"/>
              </w:rPr>
            </w:pPr>
            <w:r>
              <w:rPr>
                <w:rFonts w:hint="eastAsia" w:ascii="仿宋_GB2312" w:hAnsi="宋体" w:cs="仿宋_GB2312"/>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6" w:type="dxa"/>
            <w:vMerge w:val="restart"/>
            <w:tcBorders>
              <w:left w:val="single" w:color="auto" w:sz="4" w:space="0"/>
              <w:right w:val="single" w:color="auto" w:sz="4" w:space="0"/>
            </w:tcBorders>
            <w:vAlign w:val="center"/>
          </w:tcPr>
          <w:p>
            <w:pPr>
              <w:adjustRightInd w:val="0"/>
              <w:spacing w:line="240" w:lineRule="auto"/>
              <w:jc w:val="center"/>
              <w:rPr>
                <w:rFonts w:ascii="仿宋_GB2312" w:hAnsi="宋体"/>
                <w:sz w:val="24"/>
                <w:szCs w:val="24"/>
              </w:rPr>
            </w:pPr>
            <w:r>
              <w:rPr>
                <w:rFonts w:hint="eastAsia" w:ascii="仿宋_GB2312" w:hAnsi="宋体"/>
                <w:sz w:val="24"/>
                <w:szCs w:val="24"/>
              </w:rPr>
              <w:t>中医药产业</w:t>
            </w:r>
          </w:p>
        </w:tc>
        <w:tc>
          <w:tcPr>
            <w:tcW w:w="4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pacing w:line="240" w:lineRule="auto"/>
              <w:jc w:val="center"/>
              <w:rPr>
                <w:rFonts w:ascii="仿宋_GB2312"/>
                <w:color w:val="000000"/>
                <w:sz w:val="24"/>
                <w:szCs w:val="24"/>
              </w:rPr>
            </w:pPr>
            <w:r>
              <w:rPr>
                <w:rFonts w:hint="eastAsia" w:ascii="仿宋_GB2312"/>
                <w:color w:val="000000"/>
                <w:sz w:val="24"/>
                <w:szCs w:val="24"/>
              </w:rPr>
              <w:t>中药材种植面积（万亩）</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color w:val="000000"/>
                <w:sz w:val="24"/>
                <w:szCs w:val="24"/>
              </w:rPr>
            </w:pPr>
            <w:r>
              <w:rPr>
                <w:color w:val="000000"/>
                <w:sz w:val="24"/>
                <w:szCs w:val="24"/>
              </w:rPr>
              <w:t>21.82</w:t>
            </w:r>
          </w:p>
        </w:tc>
        <w:tc>
          <w:tcPr>
            <w:tcW w:w="14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color w:val="000000"/>
                <w:sz w:val="24"/>
                <w:szCs w:val="24"/>
              </w:rPr>
            </w:pPr>
            <w:r>
              <w:rPr>
                <w:color w:val="000000"/>
                <w:sz w:val="24"/>
                <w:szCs w:val="24"/>
              </w:rPr>
              <w:t>22</w:t>
            </w:r>
          </w:p>
        </w:tc>
        <w:tc>
          <w:tcPr>
            <w:tcW w:w="1009" w:type="dxa"/>
            <w:tcBorders>
              <w:top w:val="single" w:color="auto" w:sz="4" w:space="0"/>
              <w:left w:val="nil"/>
              <w:bottom w:val="single" w:color="auto" w:sz="4" w:space="0"/>
              <w:right w:val="single" w:color="auto" w:sz="4" w:space="0"/>
            </w:tcBorders>
            <w:vAlign w:val="center"/>
          </w:tcPr>
          <w:p>
            <w:pPr>
              <w:adjustRightInd w:val="0"/>
              <w:spacing w:line="240" w:lineRule="auto"/>
              <w:jc w:val="center"/>
              <w:rPr>
                <w:rFonts w:ascii="仿宋_GB2312"/>
                <w:color w:val="000000"/>
                <w:sz w:val="24"/>
                <w:szCs w:val="24"/>
              </w:rPr>
            </w:pPr>
            <w:r>
              <w:rPr>
                <w:rFonts w:hint="eastAsia" w:ascii="仿宋_GB2312" w:hAnsi="宋体" w:cs="仿宋_GB2312"/>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6" w:type="dxa"/>
            <w:vMerge w:val="continue"/>
            <w:tcBorders>
              <w:left w:val="single" w:color="auto" w:sz="4" w:space="0"/>
              <w:right w:val="single" w:color="auto" w:sz="4" w:space="0"/>
            </w:tcBorders>
            <w:vAlign w:val="center"/>
          </w:tcPr>
          <w:p>
            <w:pPr>
              <w:adjustRightInd w:val="0"/>
              <w:spacing w:line="240" w:lineRule="auto"/>
              <w:jc w:val="center"/>
              <w:rPr>
                <w:rFonts w:ascii="仿宋" w:hAnsi="仿宋" w:eastAsia="仿宋"/>
                <w:sz w:val="24"/>
                <w:szCs w:val="24"/>
              </w:rPr>
            </w:pPr>
          </w:p>
        </w:tc>
        <w:tc>
          <w:tcPr>
            <w:tcW w:w="4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pacing w:line="240" w:lineRule="auto"/>
              <w:jc w:val="center"/>
              <w:rPr>
                <w:rFonts w:ascii="仿宋_GB2312"/>
                <w:color w:val="000000"/>
                <w:sz w:val="24"/>
                <w:szCs w:val="24"/>
              </w:rPr>
            </w:pPr>
            <w:r>
              <w:rPr>
                <w:rFonts w:hint="eastAsia" w:ascii="仿宋_GB2312"/>
                <w:color w:val="000000"/>
                <w:sz w:val="24"/>
                <w:szCs w:val="24"/>
              </w:rPr>
              <w:t>产业链综合产值年均增速（%）</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color w:val="000000"/>
                <w:sz w:val="24"/>
                <w:szCs w:val="24"/>
              </w:rPr>
            </w:pPr>
            <w:r>
              <w:rPr>
                <w:color w:val="000000"/>
                <w:sz w:val="24"/>
                <w:szCs w:val="24"/>
              </w:rPr>
              <w:t>--</w:t>
            </w:r>
          </w:p>
        </w:tc>
        <w:tc>
          <w:tcPr>
            <w:tcW w:w="14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color w:val="000000"/>
                <w:sz w:val="24"/>
                <w:szCs w:val="24"/>
              </w:rPr>
            </w:pPr>
            <w:r>
              <w:rPr>
                <w:color w:val="000000"/>
                <w:sz w:val="24"/>
                <w:szCs w:val="24"/>
              </w:rPr>
              <w:t>11.5</w:t>
            </w:r>
          </w:p>
        </w:tc>
        <w:tc>
          <w:tcPr>
            <w:tcW w:w="1009" w:type="dxa"/>
            <w:tcBorders>
              <w:top w:val="single" w:color="auto" w:sz="4" w:space="0"/>
              <w:left w:val="nil"/>
              <w:bottom w:val="single" w:color="auto" w:sz="4" w:space="0"/>
              <w:right w:val="single" w:color="auto" w:sz="4" w:space="0"/>
            </w:tcBorders>
            <w:vAlign w:val="center"/>
          </w:tcPr>
          <w:p>
            <w:pPr>
              <w:adjustRightInd w:val="0"/>
              <w:spacing w:line="240" w:lineRule="auto"/>
              <w:jc w:val="center"/>
              <w:rPr>
                <w:rFonts w:ascii="仿宋_GB2312"/>
                <w:color w:val="000000"/>
                <w:sz w:val="24"/>
                <w:szCs w:val="24"/>
              </w:rPr>
            </w:pPr>
            <w:r>
              <w:rPr>
                <w:rFonts w:hint="eastAsia" w:ascii="仿宋_GB2312"/>
                <w:color w:val="00000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16" w:type="dxa"/>
            <w:tcBorders>
              <w:left w:val="single" w:color="auto" w:sz="4" w:space="0"/>
              <w:right w:val="single" w:color="auto" w:sz="4" w:space="0"/>
            </w:tcBorders>
            <w:vAlign w:val="center"/>
          </w:tcPr>
          <w:p>
            <w:pPr>
              <w:adjustRightInd w:val="0"/>
              <w:spacing w:line="240" w:lineRule="auto"/>
              <w:jc w:val="center"/>
              <w:rPr>
                <w:rFonts w:ascii="仿宋" w:hAnsi="仿宋" w:eastAsia="仿宋"/>
                <w:sz w:val="24"/>
                <w:szCs w:val="24"/>
              </w:rPr>
            </w:pPr>
            <w:r>
              <w:rPr>
                <w:rFonts w:hint="eastAsia" w:ascii="仿宋" w:hAnsi="仿宋" w:eastAsia="仿宋"/>
                <w:sz w:val="24"/>
                <w:szCs w:val="24"/>
              </w:rPr>
              <w:t>中医药文化</w:t>
            </w:r>
          </w:p>
        </w:tc>
        <w:tc>
          <w:tcPr>
            <w:tcW w:w="490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pacing w:line="240" w:lineRule="auto"/>
              <w:jc w:val="center"/>
              <w:rPr>
                <w:rFonts w:ascii="仿宋_GB2312"/>
                <w:color w:val="000000"/>
                <w:sz w:val="24"/>
                <w:szCs w:val="24"/>
              </w:rPr>
            </w:pPr>
            <w:r>
              <w:rPr>
                <w:rFonts w:hint="eastAsia" w:ascii="仿宋_GB2312"/>
                <w:color w:val="000000"/>
                <w:sz w:val="24"/>
                <w:szCs w:val="24"/>
              </w:rPr>
              <w:t>我市居民中医药健康文化素养水平（%）</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color w:val="000000"/>
                <w:sz w:val="24"/>
                <w:szCs w:val="24"/>
              </w:rPr>
            </w:pPr>
            <w:r>
              <w:rPr>
                <w:color w:val="000000"/>
                <w:sz w:val="24"/>
                <w:szCs w:val="24"/>
              </w:rPr>
              <w:t>--</w:t>
            </w:r>
          </w:p>
        </w:tc>
        <w:tc>
          <w:tcPr>
            <w:tcW w:w="1490"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color w:val="000000"/>
                <w:sz w:val="24"/>
                <w:szCs w:val="24"/>
              </w:rPr>
            </w:pPr>
            <w:r>
              <w:rPr>
                <w:color w:val="000000"/>
                <w:sz w:val="24"/>
                <w:szCs w:val="24"/>
              </w:rPr>
              <w:t>27</w:t>
            </w:r>
          </w:p>
        </w:tc>
        <w:tc>
          <w:tcPr>
            <w:tcW w:w="1009" w:type="dxa"/>
            <w:tcBorders>
              <w:top w:val="single" w:color="auto" w:sz="4" w:space="0"/>
              <w:left w:val="nil"/>
              <w:bottom w:val="single" w:color="auto" w:sz="4" w:space="0"/>
              <w:right w:val="single" w:color="auto" w:sz="4" w:space="0"/>
            </w:tcBorders>
            <w:vAlign w:val="center"/>
          </w:tcPr>
          <w:p>
            <w:pPr>
              <w:adjustRightInd w:val="0"/>
              <w:spacing w:line="240" w:lineRule="auto"/>
              <w:jc w:val="center"/>
              <w:rPr>
                <w:rFonts w:ascii="仿宋_GB2312"/>
                <w:color w:val="000000"/>
                <w:sz w:val="24"/>
                <w:szCs w:val="24"/>
              </w:rPr>
            </w:pPr>
            <w:r>
              <w:rPr>
                <w:rFonts w:hint="eastAsia" w:ascii="仿宋_GB2312"/>
                <w:color w:val="000000"/>
                <w:sz w:val="24"/>
                <w:szCs w:val="24"/>
              </w:rPr>
              <w:t>预期性</w:t>
            </w:r>
          </w:p>
        </w:tc>
      </w:tr>
    </w:tbl>
    <w:p>
      <w:pPr>
        <w:widowControl w:val="0"/>
        <w:overflowPunct w:val="0"/>
        <w:snapToGrid/>
        <w:jc w:val="center"/>
        <w:outlineLvl w:val="0"/>
        <w:rPr>
          <w:rFonts w:ascii="黑体" w:hAnsi="黑体" w:eastAsia="黑体"/>
        </w:rPr>
      </w:pPr>
      <w:bookmarkStart w:id="27" w:name="_Toc62809921"/>
      <w:bookmarkStart w:id="28" w:name="_Toc12548_WPSOffice_Level1"/>
      <w:r>
        <w:rPr>
          <w:rFonts w:hint="eastAsia" w:ascii="黑体" w:hAnsi="黑体" w:eastAsia="黑体"/>
        </w:rPr>
        <w:t>第</w:t>
      </w:r>
      <w:r>
        <w:rPr>
          <w:rFonts w:ascii="黑体" w:hAnsi="黑体" w:eastAsia="黑体"/>
        </w:rPr>
        <w:t>三</w:t>
      </w:r>
      <w:r>
        <w:rPr>
          <w:rFonts w:hint="eastAsia" w:ascii="黑体" w:hAnsi="黑体" w:eastAsia="黑体"/>
        </w:rPr>
        <w:t xml:space="preserve">章  </w:t>
      </w:r>
      <w:bookmarkEnd w:id="27"/>
      <w:r>
        <w:rPr>
          <w:rFonts w:ascii="黑体" w:hAnsi="黑体" w:eastAsia="黑体"/>
        </w:rPr>
        <w:t>全面提升中医药服务能力</w:t>
      </w:r>
      <w:bookmarkEnd w:id="28"/>
    </w:p>
    <w:p>
      <w:pPr>
        <w:widowControl w:val="0"/>
        <w:overflowPunct w:val="0"/>
        <w:snapToGrid/>
        <w:jc w:val="center"/>
        <w:outlineLvl w:val="1"/>
        <w:rPr>
          <w:rFonts w:ascii="楷体_GB2312" w:eastAsia="楷体_GB2312"/>
        </w:rPr>
      </w:pPr>
      <w:bookmarkStart w:id="29" w:name="_Toc241_WPSOffice_Level2"/>
      <w:bookmarkStart w:id="30" w:name="_Toc62809922"/>
      <w:r>
        <w:rPr>
          <w:rFonts w:hint="eastAsia" w:ascii="楷体_GB2312" w:eastAsia="楷体_GB2312"/>
        </w:rPr>
        <w:t>第一节  加快</w:t>
      </w:r>
      <w:r>
        <w:rPr>
          <w:rFonts w:ascii="楷体_GB2312" w:eastAsia="楷体_GB2312"/>
        </w:rPr>
        <w:t>构建</w:t>
      </w:r>
      <w:r>
        <w:rPr>
          <w:rFonts w:hint="eastAsia" w:ascii="楷体_GB2312" w:eastAsia="楷体_GB2312"/>
        </w:rPr>
        <w:t>优质中医药服务体系</w:t>
      </w:r>
      <w:bookmarkEnd w:id="29"/>
    </w:p>
    <w:bookmarkEnd w:id="30"/>
    <w:p>
      <w:pPr>
        <w:widowControl w:val="0"/>
        <w:overflowPunct w:val="0"/>
        <w:snapToGrid/>
        <w:ind w:firstLine="640" w:firstLineChars="200"/>
      </w:pPr>
      <w:r>
        <w:rPr>
          <w:rFonts w:hint="eastAsia"/>
        </w:rPr>
        <w:t>加强</w:t>
      </w:r>
      <w:r>
        <w:t>公立</w:t>
      </w:r>
      <w:r>
        <w:rPr>
          <w:rFonts w:hint="eastAsia"/>
        </w:rPr>
        <w:t>中医</w:t>
      </w:r>
      <w:r>
        <w:t>医院</w:t>
      </w:r>
      <w:r>
        <w:rPr>
          <w:rFonts w:hint="eastAsia"/>
        </w:rPr>
        <w:t>建设。支持成都中医药大学附属医院、省骨科医院、省中西医结合医院等与成都市中西医结合医院协同发展，争创国家区域中医医疗中心。强化市级中医医疗机构龙头引领作用，以中医区域指导中心为纽带，带动提升各级中医医疗机构的中医药服务能力和水平，促进优质中医医疗资源扩容延伸和均衡配置。积极推进各区（市）县办中医医院扶优补短建设，加强基础设施建设，提升县域中医药服务能力，鼓励创建国家三级甲等中医医院，到2025年，力争新创三甲中医医院1-2家。</w:t>
      </w:r>
    </w:p>
    <w:p>
      <w:pPr>
        <w:widowControl w:val="0"/>
        <w:overflowPunct w:val="0"/>
        <w:snapToGrid/>
        <w:ind w:firstLine="640" w:firstLineChars="200"/>
      </w:pPr>
      <w:r>
        <w:t>加强</w:t>
      </w:r>
      <w:r>
        <w:rPr>
          <w:rFonts w:hint="eastAsia"/>
        </w:rPr>
        <w:t>现代中医医院管理。推进公立中医医院内部控制建设，</w:t>
      </w:r>
      <w:r>
        <w:t>强化以中医药服务为主的办院模式和服务功能，建立健全体现中医药特点的现代中医医院管理制度。常态化推进公立中医医院绩效考核和等级评审工作，将考核结果作为公立医院发展规划、重大项目立项、财政投入、经费核拨、绩效工资总量核定、医保政策调整的重要依据。</w:t>
      </w:r>
      <w:r>
        <w:rPr>
          <w:rFonts w:hint="eastAsia"/>
        </w:rPr>
        <w:t>完善市、县两级中医医疗质量控制体系，建立医生自控、科室主控、医院总控、中心调控的中医医疗机构质控机制，提升中医医疗整体服务效率。加强医疗机构中药饮片质量监控，完善医疗机构中药使用管理。进一步优化中药药事服务流程，加强调剂、煎煮、配送等全过程质量控制。规范中医护理服务，制定并推广优势病种中医护理方案。</w:t>
      </w:r>
      <w:r>
        <w:t>支持公立中医医疗机构在基本医疗服务总量满足人民群众需要、基本医疗费用保持平稳的基础上, 提供商业医疗保险覆盖的非基本医疗服务。</w:t>
      </w:r>
    </w:p>
    <w:p>
      <w:pPr>
        <w:widowControl w:val="0"/>
        <w:overflowPunct w:val="0"/>
        <w:snapToGrid/>
        <w:ind w:firstLine="640" w:firstLineChars="200"/>
      </w:pPr>
      <w:r>
        <w:rPr>
          <w:rFonts w:hint="eastAsia"/>
        </w:rPr>
        <w:t>筑牢基层中医药服务阵地。扎实推动四川省中医药强县建设。实施基层中医药服务能力十四五提升工程，推进中医强基层“百千万”行动。</w:t>
      </w:r>
      <w:r>
        <w:rPr>
          <w:rFonts w:hint="eastAsia"/>
          <w:szCs w:val="32"/>
        </w:rPr>
        <w:t>开展基层医疗卫生机构中医特色专科（专病）建设。</w:t>
      </w:r>
      <w:r>
        <w:rPr>
          <w:rFonts w:hint="eastAsia"/>
        </w:rPr>
        <w:t>推动“名医馆”“中医馆”“中医角”提档升级</w:t>
      </w:r>
      <w:r>
        <w:t>，</w:t>
      </w:r>
      <w:r>
        <w:rPr>
          <w:rFonts w:hint="eastAsia"/>
        </w:rPr>
        <w:t xml:space="preserve"> 实施20%以上的中医馆服务内涵建设</w:t>
      </w:r>
      <w:r>
        <w:t>。</w:t>
      </w:r>
      <w:r>
        <w:rPr>
          <w:rFonts w:hint="eastAsia"/>
        </w:rPr>
        <w:t>强化</w:t>
      </w:r>
      <w:r>
        <w:t>“示范中医馆”、“规范化中医角”的引领示范作用，加强基层在中医药服务内涵、人才队伍与文化氛围等方面的建设。力争所有的村卫生室和社区服务站能够提供中医药服务，每个社区卫生服务站至少配备1名中医类别医师或能提供中医药服务的临床类别医师，满足居民中医药服务的便捷性和可及性</w:t>
      </w:r>
      <w:r>
        <w:rPr>
          <w:rFonts w:hint="eastAsia"/>
        </w:rPr>
        <w:t>，打造中医药15分钟服务圈</w:t>
      </w:r>
      <w:r>
        <w:t>。深入实施基层中医药服务便民惠民行动，持续推进中医优质资源下沉，完善名医下基层、基层中医师承和医院对口帮扶等机制。加强中医药适宜技术推广基地建设，大力推广中医药适宜技术，社区卫生服务中心、乡镇卫生院能够规范开展</w:t>
      </w:r>
      <w:r>
        <w:rPr>
          <w:rFonts w:hint="eastAsia"/>
        </w:rPr>
        <w:t>6类</w:t>
      </w:r>
      <w:r>
        <w:t>10项以上中医药适宜技术，</w:t>
      </w:r>
      <w:r>
        <w:rPr>
          <w:rFonts w:hint="eastAsia"/>
        </w:rPr>
        <w:t>每个</w:t>
      </w:r>
      <w:r>
        <w:t>社区卫生服务站、</w:t>
      </w:r>
      <w:r>
        <w:rPr>
          <w:rFonts w:hint="eastAsia"/>
        </w:rPr>
        <w:t>90%的</w:t>
      </w:r>
      <w:r>
        <w:t>村卫生室能够范开展</w:t>
      </w:r>
      <w:r>
        <w:rPr>
          <w:rFonts w:hint="eastAsia"/>
        </w:rPr>
        <w:t>4类</w:t>
      </w:r>
      <w:r>
        <w:t>6项以上中医药适宜技术。</w:t>
      </w:r>
    </w:p>
    <w:p>
      <w:pPr>
        <w:widowControl w:val="0"/>
        <w:overflowPunct w:val="0"/>
        <w:snapToGrid/>
        <w:ind w:firstLine="640" w:firstLineChars="200"/>
      </w:pPr>
      <w:r>
        <w:t>大力发展社会办中医。鼓励社会力量举办中医医疗机构，大力发展中医诊所、门诊部和特色专科医院</w:t>
      </w:r>
      <w:r>
        <w:rPr>
          <w:rFonts w:hint="eastAsia"/>
        </w:rPr>
        <w:t>，</w:t>
      </w:r>
      <w:r>
        <w:rPr>
          <w:rFonts w:hint="eastAsia"/>
          <w:szCs w:val="32"/>
        </w:rPr>
        <w:t>鼓励连锁经营</w:t>
      </w:r>
      <w:r>
        <w:t>。支持社会办中医医疗机构规模化、集团化、品牌化发展。实施传统中医诊所惠民行动，全面推进中医类诊所备案制管理，支持有条件的中医诊所</w:t>
      </w:r>
      <w:r>
        <w:rPr>
          <w:rFonts w:hint="eastAsia"/>
        </w:rPr>
        <w:t>参与</w:t>
      </w:r>
      <w:r>
        <w:t>家庭医生签约服务</w:t>
      </w:r>
      <w:r>
        <w:rPr>
          <w:rFonts w:hint="eastAsia"/>
        </w:rPr>
        <w:t>。</w:t>
      </w:r>
    </w:p>
    <w:p>
      <w:pPr>
        <w:widowControl w:val="0"/>
        <w:overflowPunct w:val="0"/>
        <w:snapToGrid/>
        <w:ind w:firstLine="640" w:firstLineChars="200"/>
      </w:pPr>
      <w:r>
        <w:rPr>
          <w:rFonts w:hint="eastAsia"/>
        </w:rPr>
        <w:t>加强中医医联体建设。全面推进中医医院牵头组建多种形式医联体，帮扶建设中医优势专科专病和名老中医药专家传承工作室（站）等</w:t>
      </w:r>
      <w:r>
        <w:t>。</w:t>
      </w:r>
      <w:r>
        <w:rPr>
          <w:rFonts w:hint="eastAsia"/>
        </w:rPr>
        <w:t>支持市级中医医院牵头组建城市医疗集团，支持县级中医医院牵头组建紧密型县域医共体，带动提升基层中医药服务能力。</w:t>
      </w:r>
      <w:r>
        <w:t xml:space="preserve"> </w:t>
      </w:r>
      <w:r>
        <w:rPr>
          <w:rFonts w:hint="eastAsia"/>
        </w:rPr>
        <w:t>鼓励二级以上中医医院与中医诊所建立协作关系，将中医诊所纳入医联体建设，建立双向转诊制度，开展技术指导、远程会诊等服务。</w:t>
      </w:r>
    </w:p>
    <w:p>
      <w:pPr>
        <w:widowControl w:val="0"/>
        <w:overflowPunct w:val="0"/>
        <w:snapToGrid/>
        <w:jc w:val="center"/>
        <w:outlineLvl w:val="1"/>
        <w:rPr>
          <w:rFonts w:ascii="楷体_GB2312" w:eastAsia="楷体_GB2312"/>
        </w:rPr>
      </w:pPr>
      <w:bookmarkStart w:id="31" w:name="_Toc17945_WPSOffice_Level2"/>
      <w:r>
        <w:rPr>
          <w:rFonts w:hint="eastAsia" w:ascii="楷体_GB2312" w:eastAsia="楷体_GB2312"/>
        </w:rPr>
        <w:t>第二节  发挥中医药特色优势</w:t>
      </w:r>
      <w:bookmarkEnd w:id="31"/>
    </w:p>
    <w:p>
      <w:pPr>
        <w:widowControl w:val="0"/>
        <w:overflowPunct w:val="0"/>
        <w:snapToGrid/>
        <w:ind w:firstLine="640" w:firstLineChars="200"/>
      </w:pPr>
      <w:r>
        <w:rPr>
          <w:rFonts w:hint="eastAsia"/>
        </w:rPr>
        <w:t>加强中医药特色专科建设。发挥重点专科在特色优势强化中的载体作用，支持中医医院打造优势病种特色鲜明的中医医院和科室。</w:t>
      </w:r>
      <w:r>
        <w:t>推动中医重点学科、专科高水平高质量发展，对标国内一流，实施</w:t>
      </w:r>
      <w:r>
        <w:rPr>
          <w:rFonts w:hint="eastAsia"/>
        </w:rPr>
        <w:t>“院有专科、科有专病、病有专药、人有专长”</w:t>
      </w:r>
      <w:r>
        <w:t>发展</w:t>
      </w:r>
      <w:r>
        <w:rPr>
          <w:rFonts w:hint="eastAsia"/>
        </w:rPr>
        <w:t>行动</w:t>
      </w:r>
      <w:r>
        <w:t>。围绕中医药特色优势制定重点学科（专科）建设发展规划，加强重点学科（专科）建设，修订运用、不断优化重点学科（专科）优势病种诊疗方案，到2025年，建成8个国家中医重点专科、8</w:t>
      </w:r>
      <w:r>
        <w:rPr>
          <w:rFonts w:hint="eastAsia"/>
        </w:rPr>
        <w:t>7</w:t>
      </w:r>
      <w:r>
        <w:t>个省级中医重点专科。</w:t>
      </w:r>
    </w:p>
    <w:p>
      <w:pPr>
        <w:widowControl w:val="0"/>
        <w:overflowPunct w:val="0"/>
        <w:snapToGrid/>
        <w:ind w:firstLine="640" w:firstLineChars="200"/>
      </w:pPr>
      <w:r>
        <w:rPr>
          <w:rFonts w:hint="eastAsia"/>
        </w:rPr>
        <w:t>提升中医药防治重大疾病能力。加强专科专病防治网络建设，聚焦肿瘤、糖尿病、重症胰腺炎、心脑血管疾病、感染性疾病、老年痴呆等重大疾病，完善中医病种诊疗方案和临床路径。鼓励各级医疗机构结合当地多发病特点，开展多病种的中医药防治能力建设。</w:t>
      </w:r>
    </w:p>
    <w:p>
      <w:pPr>
        <w:widowControl w:val="0"/>
        <w:overflowPunct w:val="0"/>
        <w:snapToGrid/>
        <w:ind w:firstLine="640" w:firstLineChars="200"/>
      </w:pPr>
      <w:r>
        <w:rPr>
          <w:rFonts w:hint="eastAsia"/>
        </w:rPr>
        <w:t>推进中医治未病体系建设。实施中医治未病健康促进专项行动</w:t>
      </w:r>
      <w:r>
        <w:t>，</w:t>
      </w:r>
      <w:r>
        <w:rPr>
          <w:rFonts w:hint="eastAsia"/>
        </w:rPr>
        <w:t>健全市、区（县）、街道（镇）三级治未病服务体系，不断提高治未病服务能力和水平。二级及以上中医医院全部设立治未病科室，鼓励非中医类综合医院、基层医疗卫生机构开展治未病工作。加强对乡镇卫生院、社区卫生服务中心治未病服务指导，鼓励有条件的村卫生室、社区卫生服务站提供治未病服务。鼓励家庭医生提供治未病签约服务，开展中医特色健康管理。加强重点人群和慢性病患者中医药健康服务管理，遴选推广</w:t>
      </w:r>
      <w:r>
        <w:t>20</w:t>
      </w:r>
      <w:r>
        <w:rPr>
          <w:rFonts w:hint="eastAsia"/>
        </w:rPr>
        <w:t>种以上中医治未病干预方案。</w:t>
      </w:r>
    </w:p>
    <w:p>
      <w:pPr>
        <w:widowControl w:val="0"/>
        <w:overflowPunct w:val="0"/>
        <w:snapToGrid/>
        <w:ind w:firstLine="640" w:firstLineChars="200"/>
      </w:pPr>
      <w:r>
        <w:t>提升</w:t>
      </w:r>
      <w:r>
        <w:rPr>
          <w:rFonts w:hint="eastAsia"/>
        </w:rPr>
        <w:t>中医药康复</w:t>
      </w:r>
      <w:r>
        <w:t>服务</w:t>
      </w:r>
      <w:r>
        <w:rPr>
          <w:rFonts w:hint="eastAsia"/>
        </w:rPr>
        <w:t>能力。</w:t>
      </w:r>
      <w:r>
        <w:t>实施中医药康复服务能力提升工程，依托现有资源布局建设一批中医康复中心，二级</w:t>
      </w:r>
      <w:r>
        <w:rPr>
          <w:rFonts w:hint="eastAsia"/>
        </w:rPr>
        <w:t>以上</w:t>
      </w:r>
      <w:r>
        <w:t>中医医院设置康复科的比例达到</w:t>
      </w:r>
      <w:r>
        <w:rPr>
          <w:rFonts w:hint="eastAsia"/>
        </w:rPr>
        <w:t>9</w:t>
      </w:r>
      <w:r>
        <w:t>5%。</w:t>
      </w:r>
      <w:r>
        <w:rPr>
          <w:rFonts w:hint="eastAsia"/>
        </w:rPr>
        <w:t>在</w:t>
      </w:r>
      <w:r>
        <w:t>基层医疗卫生机构推广中医优势病种康复方案和中医康复适宜技术，探索开展中医家庭病床康复服务。促进中</w:t>
      </w:r>
      <w:r>
        <w:rPr>
          <w:rFonts w:hint="eastAsia"/>
        </w:rPr>
        <w:t>医药、中华传统体育与现代康复技术融合。</w:t>
      </w:r>
    </w:p>
    <w:p>
      <w:pPr>
        <w:widowControl w:val="0"/>
        <w:overflowPunct w:val="0"/>
        <w:snapToGrid/>
        <w:ind w:firstLine="640" w:firstLineChars="200"/>
      </w:pPr>
      <w:r>
        <w:rPr>
          <w:rFonts w:hint="eastAsia"/>
        </w:rPr>
        <w:t>强化医疗机构中药制剂能力建设。依托制剂品种多、研发能力强的中医药机构及科研机构，布局成都市区域医疗机构制剂中心，鼓励建设中药制剂公共研发服务平台和中药制剂研发转化联盟，研发特色明显、疗效独特的中药制剂</w:t>
      </w:r>
      <w:r>
        <w:t>，</w:t>
      </w:r>
      <w:r>
        <w:rPr>
          <w:rFonts w:hint="eastAsia"/>
        </w:rPr>
        <w:t>促进全</w:t>
      </w:r>
      <w:r>
        <w:t>市</w:t>
      </w:r>
      <w:r>
        <w:rPr>
          <w:rFonts w:hint="eastAsia"/>
        </w:rPr>
        <w:t>中药制剂</w:t>
      </w:r>
      <w:r>
        <w:t>的标准化研发生产</w:t>
      </w:r>
      <w:r>
        <w:rPr>
          <w:rFonts w:hint="eastAsia"/>
        </w:rPr>
        <w:t>和推广运用。支持医疗机构应用传统工艺配制中药制剂，促进中医药特色优势发挥。鼓励医企合作，提升中药制剂产能和质量，促进医疗机构制剂向新药转化。完善医疗机构中药制剂调剂使用机制</w:t>
      </w:r>
      <w:r>
        <w:t>和相关管理办法</w:t>
      </w:r>
      <w:r>
        <w:rPr>
          <w:rFonts w:hint="eastAsia"/>
        </w:rPr>
        <w:t>，促进我市中药制剂纳入四川省医疗机构中药制剂调剂品种目录。</w:t>
      </w:r>
    </w:p>
    <w:p>
      <w:pPr>
        <w:widowControl w:val="0"/>
        <w:overflowPunct w:val="0"/>
        <w:snapToGrid/>
        <w:jc w:val="center"/>
        <w:outlineLvl w:val="1"/>
        <w:rPr>
          <w:rFonts w:ascii="楷体_GB2312" w:eastAsia="楷体_GB2312"/>
        </w:rPr>
      </w:pPr>
      <w:bookmarkStart w:id="32" w:name="_Toc12603_WPSOffice_Level2"/>
      <w:r>
        <w:rPr>
          <w:rFonts w:hint="eastAsia" w:ascii="楷体_GB2312" w:eastAsia="楷体_GB2312"/>
        </w:rPr>
        <w:t>第</w:t>
      </w:r>
      <w:r>
        <w:rPr>
          <w:rFonts w:ascii="楷体_GB2312" w:eastAsia="楷体_GB2312"/>
        </w:rPr>
        <w:t>三</w:t>
      </w:r>
      <w:r>
        <w:rPr>
          <w:rFonts w:hint="eastAsia" w:ascii="楷体_GB2312" w:eastAsia="楷体_GB2312"/>
        </w:rPr>
        <w:t xml:space="preserve">节  </w:t>
      </w:r>
      <w:r>
        <w:rPr>
          <w:rFonts w:ascii="楷体_GB2312" w:eastAsia="楷体_GB2312"/>
        </w:rPr>
        <w:t>完善</w:t>
      </w:r>
      <w:bookmarkStart w:id="33" w:name="_Hlk81488616"/>
      <w:r>
        <w:rPr>
          <w:rFonts w:ascii="楷体_GB2312" w:eastAsia="楷体_GB2312"/>
        </w:rPr>
        <w:t>中西医结合机制</w:t>
      </w:r>
      <w:bookmarkEnd w:id="32"/>
      <w:bookmarkEnd w:id="33"/>
    </w:p>
    <w:p>
      <w:pPr>
        <w:widowControl w:val="0"/>
        <w:overflowPunct w:val="0"/>
        <w:snapToGrid/>
        <w:ind w:firstLine="640" w:firstLineChars="200"/>
      </w:pPr>
      <w:r>
        <w:rPr>
          <w:rFonts w:hint="eastAsia"/>
        </w:rPr>
        <w:t>创新发展中西医结合机制。打造中西医协同“旗舰”医院、“旗舰”科室、“旗舰”基层医疗卫生机构，建立健全中西医结合“有机制、有团队、有措施、有成效”的工作机制。加强综合医院、妇幼保健机构、传染病医院和有条件的专科医院中医临床科室和中药房建设，将中西医结合工作纳入医院评审和公立医院绩效考核，把建立中西医协同发展机制和多学科诊疗体系纳入医院章程，将中西医联合查房、会诊纳入医院管理制度。</w:t>
      </w:r>
    </w:p>
    <w:p>
      <w:pPr>
        <w:widowControl w:val="0"/>
        <w:overflowPunct w:val="0"/>
        <w:snapToGrid/>
        <w:ind w:firstLine="640" w:firstLineChars="200"/>
        <w:rPr>
          <w:rFonts w:hint="eastAsia"/>
        </w:rPr>
      </w:pPr>
      <w:r>
        <w:rPr>
          <w:rFonts w:hint="eastAsia"/>
        </w:rPr>
        <w:t>创新中西医结合医疗服务模式。强化综合医院、妇幼保健机构、传染病医院和专科医院临床科室中医医师配备，打造多学科中西医结合团队</w:t>
      </w:r>
      <w:r>
        <w:t>，争创</w:t>
      </w:r>
      <w:r>
        <w:rPr>
          <w:rFonts w:hint="eastAsia"/>
        </w:rPr>
        <w:t>全国</w:t>
      </w:r>
      <w:r>
        <w:t>中医药工作示范单位。</w:t>
      </w:r>
      <w:r>
        <w:rPr>
          <w:rFonts w:hint="eastAsia"/>
        </w:rPr>
        <w:t>鼓励科室间、院间和医联体内部开展中西医协作，针对中西医结合优势病种，共同研究制定“宜中则中、宜西则西”的中西医结合诊疗方案。医疗机构要组织开展临床类别医师中医药专业知识轮训，逐步做到“能西会中”，推进中西医结合诊疗服务覆盖医院主要临床科室。开展重大疑难疾病中西医临床协作能力建设，提高重大疑难疾病、急危重症的临床疗效。</w:t>
      </w:r>
      <w:bookmarkStart w:id="34" w:name="_Toc11576_WPSOffice_Level2"/>
    </w:p>
    <w:p>
      <w:pPr>
        <w:widowControl w:val="0"/>
        <w:overflowPunct w:val="0"/>
        <w:snapToGrid/>
        <w:ind w:firstLine="640" w:firstLineChars="200"/>
        <w:rPr>
          <w:rFonts w:ascii="楷体_GB2312" w:eastAsia="楷体_GB2312"/>
        </w:rPr>
      </w:pPr>
    </w:p>
    <w:p>
      <w:pPr>
        <w:ind w:firstLine="1280" w:firstLineChars="400"/>
        <w:rPr>
          <w:rFonts w:ascii="楷体_GB2312" w:eastAsia="楷体_GB2312"/>
        </w:rPr>
      </w:pPr>
      <w:r>
        <w:rPr>
          <w:rFonts w:hint="eastAsia" w:ascii="楷体_GB2312" w:eastAsia="楷体_GB2312"/>
        </w:rPr>
        <w:t>第</w:t>
      </w:r>
      <w:r>
        <w:rPr>
          <w:rFonts w:ascii="楷体_GB2312" w:eastAsia="楷体_GB2312"/>
        </w:rPr>
        <w:t>四</w:t>
      </w:r>
      <w:r>
        <w:rPr>
          <w:rFonts w:hint="eastAsia" w:ascii="楷体_GB2312" w:eastAsia="楷体_GB2312"/>
        </w:rPr>
        <w:t xml:space="preserve">节  </w:t>
      </w:r>
      <w:r>
        <w:rPr>
          <w:rFonts w:ascii="楷体_GB2312" w:eastAsia="楷体_GB2312"/>
        </w:rPr>
        <w:t>提升中医药应对突发公共事件能力</w:t>
      </w:r>
      <w:bookmarkEnd w:id="34"/>
    </w:p>
    <w:p>
      <w:pPr>
        <w:widowControl w:val="0"/>
        <w:overflowPunct w:val="0"/>
        <w:snapToGrid/>
        <w:ind w:firstLine="640" w:firstLineChars="200"/>
      </w:pPr>
      <w:r>
        <w:rPr>
          <w:rFonts w:hint="eastAsia"/>
        </w:rPr>
        <w:t>建立重大疫情中医药防控体系。建设区域重大疫情中医药防控中心，重点加强急诊科、肺病科、心脑病科、重症医学等科室建设，支持配置负压病房、负压救护车、实验室，全面提升区域重大疫情中医药综合防治能力。市级中医医疗机构独立设置传染病病区，二级以上县级中医医院全部设置感染性疾病科，所有县级中医医疗机构能够发挥重大传染性疾病监测哨点功能。强化乡村、社区疫情中医药防控，推广行之有效的基层中医药防治方案。</w:t>
      </w:r>
    </w:p>
    <w:p>
      <w:pPr>
        <w:widowControl w:val="0"/>
        <w:overflowPunct w:val="0"/>
        <w:snapToGrid/>
        <w:ind w:firstLine="640" w:firstLineChars="200"/>
      </w:pPr>
      <w:r>
        <w:rPr>
          <w:rFonts w:hint="eastAsia"/>
        </w:rPr>
        <w:t>加强中医药应急能力建</w:t>
      </w:r>
      <w:r>
        <w:rPr>
          <w:rFonts w:hint="eastAsia"/>
          <w:color w:val="000000"/>
        </w:rPr>
        <w:t>设。支持建设中医疫病防治和紧急医学救援基地，</w:t>
      </w:r>
      <w:r>
        <w:rPr>
          <w:color w:val="000000"/>
        </w:rPr>
        <w:t>支撑</w:t>
      </w:r>
      <w:r>
        <w:rPr>
          <w:rFonts w:hint="eastAsia"/>
          <w:color w:val="000000"/>
        </w:rPr>
        <w:t>建设中医疫病防治队和中医紧急医学救援队。</w:t>
      </w:r>
      <w:r>
        <w:rPr>
          <w:rFonts w:hint="eastAsia"/>
        </w:rPr>
        <w:t>不断规范完善中医医院急诊急救标准、流程，加强急诊急救设备配备和急诊急救知识培训，提升中医医院急诊急救能力。完善中医药应急机制</w:t>
      </w:r>
      <w:r>
        <w:t>，</w:t>
      </w:r>
      <w:r>
        <w:rPr>
          <w:rFonts w:hint="eastAsia"/>
        </w:rPr>
        <w:t>将中医药防治举措全面融入应急预案和技术方案，推广中医药群体防治方案和防治技术。支持疾病预防控制机构建立中医药专家队伍，鼓励定点医院开展重点传染病中医药证候学信息监测。</w:t>
      </w:r>
      <w:r>
        <w:t>加强</w:t>
      </w:r>
      <w:r>
        <w:rPr>
          <w:rFonts w:hint="eastAsia"/>
        </w:rPr>
        <w:t>中药应急物资战略储备保障。</w:t>
      </w:r>
      <w:r>
        <w:br w:type="page"/>
      </w:r>
    </w:p>
    <w:tbl>
      <w:tblPr>
        <w:tblStyle w:val="15"/>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overflowPunct w:val="0"/>
              <w:spacing w:line="240" w:lineRule="auto"/>
              <w:jc w:val="center"/>
              <w:rPr>
                <w:rFonts w:ascii="黑体" w:hAnsi="黑体" w:eastAsia="黑体"/>
                <w:color w:val="000000"/>
                <w:spacing w:val="2"/>
                <w:kern w:val="10"/>
                <w:position w:val="2"/>
                <w:szCs w:val="32"/>
              </w:rPr>
            </w:pPr>
            <w:r>
              <w:rPr>
                <w:rFonts w:hint="eastAsia" w:ascii="黑体" w:hAnsi="黑体" w:eastAsia="黑体" w:cs="仿宋_GB2312"/>
                <w:bCs/>
                <w:color w:val="000000"/>
                <w:kern w:val="0"/>
                <w:szCs w:val="32"/>
              </w:rPr>
              <w:t>专栏</w:t>
            </w:r>
            <w:r>
              <w:rPr>
                <w:rFonts w:ascii="黑体" w:hAnsi="黑体" w:eastAsia="黑体" w:cs="仿宋_GB2312"/>
                <w:bCs/>
                <w:color w:val="000000"/>
                <w:kern w:val="0"/>
                <w:szCs w:val="32"/>
              </w:rPr>
              <w:t>2</w:t>
            </w:r>
            <w:r>
              <w:rPr>
                <w:rFonts w:hint="eastAsia" w:ascii="黑体" w:hAnsi="黑体" w:eastAsia="黑体" w:cs="仿宋_GB2312"/>
                <w:bCs/>
                <w:color w:val="000000"/>
                <w:kern w:val="0"/>
                <w:szCs w:val="32"/>
              </w:rPr>
              <w:t>全面提升中医药服务能力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0"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widowControl w:val="0"/>
              <w:overflowPunct w:val="0"/>
              <w:snapToGrid/>
              <w:spacing w:after="0"/>
              <w:ind w:firstLine="640" w:firstLineChars="200"/>
              <w:rPr>
                <w:szCs w:val="28"/>
              </w:rPr>
            </w:pPr>
            <w:r>
              <w:rPr>
                <w:rFonts w:hint="eastAsia"/>
                <w:szCs w:val="28"/>
              </w:rPr>
              <w:t>推进公立中医医院建设：金牛区中医医</w:t>
            </w:r>
            <w:r>
              <w:rPr>
                <w:rFonts w:hint="eastAsia"/>
                <w:color w:val="000000"/>
                <w:szCs w:val="28"/>
              </w:rPr>
              <w:t>院、</w:t>
            </w:r>
            <w:r>
              <w:rPr>
                <w:color w:val="000000"/>
                <w:szCs w:val="28"/>
              </w:rPr>
              <w:t>青羊区中医医院</w:t>
            </w:r>
            <w:r>
              <w:rPr>
                <w:rFonts w:hint="eastAsia"/>
                <w:color w:val="000000"/>
                <w:szCs w:val="28"/>
              </w:rPr>
              <w:t>、</w:t>
            </w:r>
            <w:r>
              <w:rPr>
                <w:color w:val="000000"/>
                <w:szCs w:val="28"/>
              </w:rPr>
              <w:t>大邑县中医医院新建项目，</w:t>
            </w:r>
            <w:r>
              <w:rPr>
                <w:rFonts w:hint="eastAsia"/>
                <w:szCs w:val="28"/>
              </w:rPr>
              <w:t>彭州市中医医院新院建设项目</w:t>
            </w:r>
            <w:r>
              <w:rPr>
                <w:szCs w:val="28"/>
              </w:rPr>
              <w:t>，龙泉驿区中医医院、</w:t>
            </w:r>
            <w:r>
              <w:rPr>
                <w:rFonts w:hint="eastAsia"/>
                <w:szCs w:val="28"/>
              </w:rPr>
              <w:t>温江区中医医院</w:t>
            </w:r>
            <w:r>
              <w:rPr>
                <w:szCs w:val="28"/>
              </w:rPr>
              <w:t>、</w:t>
            </w:r>
            <w:r>
              <w:rPr>
                <w:rFonts w:hint="eastAsia"/>
                <w:szCs w:val="28"/>
              </w:rPr>
              <w:t>邛崃市中医医院</w:t>
            </w:r>
            <w:r>
              <w:rPr>
                <w:szCs w:val="28"/>
              </w:rPr>
              <w:t>、</w:t>
            </w:r>
            <w:r>
              <w:rPr>
                <w:rFonts w:hint="eastAsia"/>
                <w:szCs w:val="28"/>
              </w:rPr>
              <w:t>蒲江县中医医院迁建项目</w:t>
            </w:r>
            <w:r>
              <w:rPr>
                <w:szCs w:val="28"/>
              </w:rPr>
              <w:t>，双流区中医医院</w:t>
            </w:r>
            <w:r>
              <w:rPr>
                <w:rFonts w:hint="eastAsia"/>
                <w:szCs w:val="28"/>
              </w:rPr>
              <w:t>、</w:t>
            </w:r>
            <w:r>
              <w:rPr>
                <w:szCs w:val="28"/>
              </w:rPr>
              <w:t>郫都区中医医院、</w:t>
            </w:r>
            <w:r>
              <w:rPr>
                <w:rFonts w:hint="eastAsia"/>
                <w:szCs w:val="28"/>
              </w:rPr>
              <w:t>青白江区中医医院、都江堰市中医医院二期工程</w:t>
            </w:r>
            <w:r>
              <w:rPr>
                <w:szCs w:val="28"/>
              </w:rPr>
              <w:t>，</w:t>
            </w:r>
            <w:r>
              <w:rPr>
                <w:rFonts w:hint="eastAsia"/>
                <w:szCs w:val="28"/>
              </w:rPr>
              <w:t>简阳市中医医院康复治疗中心</w:t>
            </w:r>
            <w:r>
              <w:rPr>
                <w:szCs w:val="28"/>
              </w:rPr>
              <w:t>等建设</w:t>
            </w:r>
            <w:r>
              <w:rPr>
                <w:rFonts w:hint="eastAsia"/>
                <w:szCs w:val="28"/>
              </w:rPr>
              <w:t>项目。</w:t>
            </w:r>
          </w:p>
          <w:p>
            <w:pPr>
              <w:widowControl w:val="0"/>
              <w:tabs>
                <w:tab w:val="left" w:pos="6759"/>
              </w:tabs>
              <w:overflowPunct w:val="0"/>
              <w:snapToGrid/>
              <w:ind w:firstLine="640" w:firstLineChars="200"/>
              <w:rPr>
                <w:szCs w:val="28"/>
              </w:rPr>
            </w:pPr>
            <w:r>
              <w:rPr>
                <w:rFonts w:cs="仿宋_GB2312"/>
                <w:color w:val="000000"/>
                <w:szCs w:val="28"/>
              </w:rPr>
              <w:t>支持高水平中医医院争创国家中医医学中心和区域中医医疗中心。</w:t>
            </w:r>
            <w:r>
              <w:rPr>
                <w:rFonts w:hint="eastAsia" w:cs="仿宋_GB2312"/>
                <w:color w:val="000000"/>
                <w:szCs w:val="28"/>
              </w:rPr>
              <w:t>推进</w:t>
            </w:r>
            <w:r>
              <w:rPr>
                <w:rFonts w:hint="eastAsia"/>
                <w:bCs/>
                <w:color w:val="000000"/>
                <w:szCs w:val="28"/>
              </w:rPr>
              <w:t>中医重点专科高水平发展，</w:t>
            </w:r>
            <w:r>
              <w:rPr>
                <w:rFonts w:hint="eastAsia"/>
                <w:color w:val="000000"/>
                <w:szCs w:val="28"/>
              </w:rPr>
              <w:t>争创</w:t>
            </w:r>
            <w:r>
              <w:rPr>
                <w:rFonts w:hint="eastAsia"/>
                <w:color w:val="000000"/>
                <w:szCs w:val="32"/>
              </w:rPr>
              <w:t>国家区域中医诊疗中心、</w:t>
            </w:r>
            <w:r>
              <w:rPr>
                <w:color w:val="000000"/>
                <w:szCs w:val="32"/>
              </w:rPr>
              <w:t>打造</w:t>
            </w:r>
            <w:r>
              <w:rPr>
                <w:rFonts w:hint="eastAsia"/>
                <w:color w:val="000000"/>
                <w:szCs w:val="32"/>
              </w:rPr>
              <w:t>省级中医重点专科</w:t>
            </w:r>
            <w:r>
              <w:rPr>
                <w:rFonts w:hint="eastAsia" w:cs="仿宋_GB2312"/>
                <w:color w:val="000000"/>
                <w:szCs w:val="28"/>
              </w:rPr>
              <w:t>。</w:t>
            </w:r>
            <w:r>
              <w:rPr>
                <w:rFonts w:hint="eastAsia"/>
                <w:szCs w:val="28"/>
              </w:rPr>
              <w:t>争创国家中西医协同“旗舰”医院，实施省级重大疑难疾病中西医临床协作试点项目。</w:t>
            </w:r>
          </w:p>
          <w:p>
            <w:pPr>
              <w:widowControl w:val="0"/>
              <w:tabs>
                <w:tab w:val="left" w:pos="6759"/>
              </w:tabs>
              <w:overflowPunct w:val="0"/>
              <w:snapToGrid/>
              <w:ind w:firstLine="640" w:firstLineChars="200"/>
              <w:rPr>
                <w:rFonts w:cs="仿宋_GB2312"/>
                <w:szCs w:val="28"/>
              </w:rPr>
            </w:pPr>
            <w:r>
              <w:rPr>
                <w:rFonts w:hint="eastAsia" w:cs="仿宋_GB2312"/>
                <w:szCs w:val="28"/>
              </w:rPr>
              <w:t>提升基层中医药服务能力，实施中医强基层“百千万”行动，</w:t>
            </w:r>
            <w:r>
              <w:rPr>
                <w:rFonts w:hint="eastAsia"/>
              </w:rPr>
              <w:t>实施20%以上的中医馆服务内涵建设</w:t>
            </w:r>
            <w:r>
              <w:rPr>
                <w:rFonts w:hint="eastAsia" w:cs="仿宋_GB2312"/>
                <w:szCs w:val="28"/>
              </w:rPr>
              <w:t>。</w:t>
            </w:r>
          </w:p>
          <w:p>
            <w:pPr>
              <w:widowControl w:val="0"/>
              <w:tabs>
                <w:tab w:val="left" w:pos="6759"/>
              </w:tabs>
              <w:overflowPunct w:val="0"/>
              <w:snapToGrid/>
              <w:ind w:firstLine="640" w:firstLineChars="200"/>
              <w:rPr>
                <w:rFonts w:cs="仿宋_GB2312"/>
                <w:szCs w:val="28"/>
              </w:rPr>
            </w:pPr>
            <w:r>
              <w:rPr>
                <w:rFonts w:cs="仿宋_GB2312"/>
                <w:szCs w:val="28"/>
              </w:rPr>
              <w:t>加强治未病服务能力建设，</w:t>
            </w:r>
            <w:r>
              <w:rPr>
                <w:rFonts w:hint="eastAsia" w:cs="仿宋_GB2312"/>
                <w:szCs w:val="28"/>
              </w:rPr>
              <w:t>在重点人群和慢性病患者中推广20种以上中医治未病干预方案。推进</w:t>
            </w:r>
            <w:r>
              <w:rPr>
                <w:rFonts w:cs="仿宋_GB2312"/>
                <w:szCs w:val="28"/>
              </w:rPr>
              <w:t>中医药康复服务能力</w:t>
            </w:r>
            <w:r>
              <w:rPr>
                <w:rFonts w:hint="eastAsia" w:cs="仿宋_GB2312"/>
                <w:szCs w:val="28"/>
              </w:rPr>
              <w:t>建设，二</w:t>
            </w:r>
            <w:r>
              <w:rPr>
                <w:rFonts w:cs="仿宋_GB2312"/>
                <w:szCs w:val="28"/>
              </w:rPr>
              <w:t>级</w:t>
            </w:r>
            <w:r>
              <w:rPr>
                <w:rFonts w:hint="eastAsia" w:cs="仿宋_GB2312"/>
                <w:szCs w:val="28"/>
              </w:rPr>
              <w:t>及以上</w:t>
            </w:r>
            <w:r>
              <w:rPr>
                <w:rFonts w:cs="仿宋_GB2312"/>
                <w:szCs w:val="28"/>
              </w:rPr>
              <w:t>中医医院设置康复科的比例达到95%。</w:t>
            </w:r>
          </w:p>
          <w:p>
            <w:pPr>
              <w:widowControl w:val="0"/>
              <w:tabs>
                <w:tab w:val="left" w:pos="6759"/>
              </w:tabs>
              <w:overflowPunct w:val="0"/>
              <w:snapToGrid/>
              <w:ind w:firstLine="640" w:firstLineChars="200"/>
            </w:pPr>
            <w:r>
              <w:rPr>
                <w:rFonts w:hint="eastAsia" w:cs="仿宋_GB2312"/>
                <w:szCs w:val="28"/>
              </w:rPr>
              <w:t>布局成都市区域医疗机构制剂中心，做好纳入四川省中药制剂调剂品种目录的申报工作。</w:t>
            </w:r>
            <w:r>
              <w:rPr>
                <w:rFonts w:cs="仿宋_GB2312"/>
                <w:szCs w:val="28"/>
              </w:rPr>
              <w:t>新增中药制剂品种20个以上。</w:t>
            </w:r>
          </w:p>
        </w:tc>
      </w:tr>
    </w:tbl>
    <w:p>
      <w:pPr>
        <w:pStyle w:val="6"/>
        <w:rPr>
          <w:rFonts w:cstheme="majorBidi"/>
          <w:szCs w:val="32"/>
        </w:rPr>
      </w:pPr>
      <w:bookmarkStart w:id="35" w:name="_Toc31109_WPSOffice_Level2"/>
    </w:p>
    <w:p>
      <w:pPr>
        <w:rPr>
          <w:rFonts w:ascii="黑体" w:hAnsi="黑体" w:eastAsia="黑体"/>
        </w:rPr>
      </w:pPr>
      <w:r>
        <w:rPr>
          <w:rFonts w:hint="eastAsia" w:ascii="黑体" w:hAnsi="黑体" w:eastAsia="黑体"/>
        </w:rPr>
        <w:br w:type="page"/>
      </w:r>
    </w:p>
    <w:p>
      <w:pPr>
        <w:pStyle w:val="14"/>
        <w:spacing w:before="780" w:beforeLines="250" w:after="0" w:line="600" w:lineRule="exact"/>
        <w:rPr>
          <w:rFonts w:ascii="黑体" w:hAnsi="黑体" w:eastAsia="黑体"/>
          <w:b w:val="0"/>
          <w:bCs w:val="0"/>
        </w:rPr>
      </w:pPr>
      <w:r>
        <w:rPr>
          <w:rFonts w:hint="eastAsia" w:ascii="黑体" w:hAnsi="黑体" w:eastAsia="黑体"/>
          <w:b w:val="0"/>
          <w:bCs w:val="0"/>
        </w:rPr>
        <w:t>第四章  推进中</w:t>
      </w:r>
      <w:r>
        <w:rPr>
          <w:rFonts w:ascii="黑体" w:hAnsi="黑体" w:eastAsia="黑体"/>
          <w:b w:val="0"/>
          <w:bCs w:val="0"/>
        </w:rPr>
        <w:t>医</w:t>
      </w:r>
      <w:r>
        <w:rPr>
          <w:rFonts w:hint="eastAsia" w:ascii="黑体" w:hAnsi="黑体" w:eastAsia="黑体"/>
          <w:b w:val="0"/>
          <w:bCs w:val="0"/>
        </w:rPr>
        <w:t>药产业高质量发展</w:t>
      </w:r>
    </w:p>
    <w:p>
      <w:pPr>
        <w:widowControl w:val="0"/>
        <w:overflowPunct w:val="0"/>
        <w:snapToGrid/>
        <w:jc w:val="center"/>
        <w:outlineLvl w:val="1"/>
        <w:rPr>
          <w:rFonts w:ascii="楷体_GB2312" w:eastAsia="楷体_GB2312"/>
        </w:rPr>
      </w:pPr>
      <w:r>
        <w:rPr>
          <w:rFonts w:hint="eastAsia" w:ascii="楷体_GB2312" w:eastAsia="楷体_GB2312"/>
        </w:rPr>
        <w:t>第</w:t>
      </w:r>
      <w:r>
        <w:rPr>
          <w:rFonts w:ascii="楷体_GB2312" w:eastAsia="楷体_GB2312"/>
        </w:rPr>
        <w:t>一</w:t>
      </w:r>
      <w:r>
        <w:rPr>
          <w:rFonts w:hint="eastAsia" w:ascii="楷体_GB2312" w:eastAsia="楷体_GB2312"/>
        </w:rPr>
        <w:t>节  推动中药</w:t>
      </w:r>
      <w:r>
        <w:rPr>
          <w:rFonts w:ascii="楷体_GB2312" w:eastAsia="楷体_GB2312"/>
        </w:rPr>
        <w:t>材种植</w:t>
      </w:r>
      <w:r>
        <w:rPr>
          <w:rFonts w:hint="eastAsia" w:ascii="楷体_GB2312" w:eastAsia="楷体_GB2312"/>
        </w:rPr>
        <w:t>业规范</w:t>
      </w:r>
      <w:r>
        <w:rPr>
          <w:rFonts w:ascii="楷体_GB2312" w:eastAsia="楷体_GB2312"/>
        </w:rPr>
        <w:t>化</w:t>
      </w:r>
      <w:r>
        <w:rPr>
          <w:rFonts w:hint="eastAsia" w:ascii="楷体_GB2312" w:eastAsia="楷体_GB2312"/>
        </w:rPr>
        <w:t>发展</w:t>
      </w:r>
      <w:bookmarkEnd w:id="35"/>
    </w:p>
    <w:p>
      <w:pPr>
        <w:widowControl w:val="0"/>
        <w:overflowPunct w:val="0"/>
        <w:ind w:firstLine="640" w:firstLineChars="200"/>
      </w:pPr>
      <w:r>
        <w:rPr>
          <w:rFonts w:hint="eastAsia"/>
        </w:rPr>
        <w:t>大力提升中药材质量。加强川产道地药材种质资源和原产地保护，建设高质量种子种苗繁育基地，选育道地和特色优势药材品种，推广生态种植和仿野生栽培，提升中药材资源保护和开发能力。支持规范化、规模化川产道地药材生产基地建设，积极引导龙头企业或种植专合社与中药材种植户，按照统一管理模式开展道地中药材的规模化种植，扶持都江堰、彭州等区（市）县利用川芎、厚朴等国家地理标志品牌，争创省级中医药产业发展示范县、重点县。</w:t>
      </w:r>
    </w:p>
    <w:p>
      <w:pPr>
        <w:widowControl w:val="0"/>
        <w:overflowPunct w:val="0"/>
        <w:ind w:firstLine="640" w:firstLineChars="200"/>
      </w:pPr>
      <w:r>
        <w:rPr>
          <w:rFonts w:hint="eastAsia"/>
        </w:rPr>
        <w:t>加强</w:t>
      </w:r>
      <w:r>
        <w:t>中药材质量监管。</w:t>
      </w:r>
      <w:r>
        <w:rPr>
          <w:rFonts w:hint="eastAsia"/>
        </w:rPr>
        <w:t>严格农药、化肥、植物生长调节剂等使用管理，试点开展</w:t>
      </w:r>
      <w:r>
        <w:t>川芎等</w:t>
      </w:r>
      <w:r>
        <w:rPr>
          <w:rFonts w:hint="eastAsia"/>
        </w:rPr>
        <w:t>中药材溯源体系建设，逐步建立全过程溯源档案，实现产品来源可知、去向可追、质量可控、责任可究。以道地药材标准化示范基地建设为突破口，全力做好中药材产地、产品研发、品种认定认证工作。加快推进成都市中药材种植地方标准的编制。</w:t>
      </w:r>
    </w:p>
    <w:p>
      <w:pPr>
        <w:widowControl w:val="0"/>
        <w:overflowPunct w:val="0"/>
        <w:snapToGrid/>
        <w:jc w:val="center"/>
        <w:outlineLvl w:val="1"/>
        <w:rPr>
          <w:rFonts w:ascii="楷体_GB2312" w:eastAsia="楷体_GB2312"/>
        </w:rPr>
      </w:pPr>
      <w:bookmarkStart w:id="36" w:name="_Toc10876_WPSOffice_Level2"/>
      <w:r>
        <w:rPr>
          <w:rFonts w:hint="eastAsia" w:ascii="楷体_GB2312" w:eastAsia="楷体_GB2312"/>
        </w:rPr>
        <w:t>第</w:t>
      </w:r>
      <w:r>
        <w:rPr>
          <w:rFonts w:ascii="楷体_GB2312" w:eastAsia="楷体_GB2312"/>
        </w:rPr>
        <w:t>二</w:t>
      </w:r>
      <w:r>
        <w:rPr>
          <w:rFonts w:hint="eastAsia" w:ascii="楷体_GB2312" w:eastAsia="楷体_GB2312"/>
        </w:rPr>
        <w:t xml:space="preserve">节  </w:t>
      </w:r>
      <w:r>
        <w:rPr>
          <w:rFonts w:ascii="楷体_GB2312" w:eastAsia="楷体_GB2312"/>
        </w:rPr>
        <w:t>推动中药生产加工能力提质增速</w:t>
      </w:r>
      <w:bookmarkEnd w:id="36"/>
    </w:p>
    <w:p>
      <w:pPr>
        <w:widowControl w:val="0"/>
        <w:overflowPunct w:val="0"/>
        <w:ind w:firstLine="640" w:firstLineChars="200"/>
      </w:pPr>
      <w:r>
        <w:rPr>
          <w:rFonts w:hint="eastAsia"/>
        </w:rPr>
        <w:t>以天府中药城、成都医学城、成都天府国际生物城等为抓手，加快建设全国一流的现代中药研发生产基地和现代中药生产工业集群和中药产品贸易集散地，培育中医药产业发展示范县，打造中医药产业创新发展新极核。争取获得国家地理标志产品保护、商标注册保护、专利保护，争创各级质量奖，推动中药品牌建设。加强中成药质量控制，促进现代信息技术在中药生产中的应用，提高智能生产水平</w:t>
      </w:r>
      <w:r>
        <w:t>。巩固中药配方颗粒创新发展优势。</w:t>
      </w:r>
      <w:r>
        <w:rPr>
          <w:rFonts w:hint="eastAsia"/>
        </w:rPr>
        <w:t>鼓励研发制造中医药装备产品，推动具有市场竞争力的中医药智能装备产品上市。重点培育一批中药产业化龙头企业，将“成都产”中药打造成全国一流的知名品牌</w:t>
      </w:r>
      <w:r>
        <w:t>，打造医药百强企业</w:t>
      </w:r>
      <w:r>
        <w:rPr>
          <w:rFonts w:hint="eastAsia"/>
        </w:rPr>
        <w:t>。推进中医药企业（单位）社会信用体系建设。鼓励中药制药行业战略性重组，实施“三招三引”战略，创新开展“一企一策”服务，打造区域公共品牌和企业知名品牌。</w:t>
      </w:r>
    </w:p>
    <w:p>
      <w:pPr>
        <w:widowControl w:val="0"/>
        <w:overflowPunct w:val="0"/>
        <w:snapToGrid/>
        <w:jc w:val="center"/>
        <w:outlineLvl w:val="1"/>
        <w:rPr>
          <w:rFonts w:ascii="楷体_GB2312" w:eastAsia="楷体_GB2312"/>
        </w:rPr>
      </w:pPr>
      <w:bookmarkStart w:id="37" w:name="_Toc4588_WPSOffice_Level2"/>
      <w:r>
        <w:rPr>
          <w:rFonts w:hint="eastAsia" w:ascii="楷体_GB2312" w:eastAsia="楷体_GB2312"/>
        </w:rPr>
        <w:t>第</w:t>
      </w:r>
      <w:r>
        <w:rPr>
          <w:rFonts w:ascii="楷体_GB2312" w:eastAsia="楷体_GB2312"/>
        </w:rPr>
        <w:t>三</w:t>
      </w:r>
      <w:r>
        <w:rPr>
          <w:rFonts w:hint="eastAsia" w:ascii="楷体_GB2312" w:eastAsia="楷体_GB2312"/>
        </w:rPr>
        <w:t>节  发展中医药健康服务业</w:t>
      </w:r>
      <w:bookmarkEnd w:id="37"/>
    </w:p>
    <w:p>
      <w:pPr>
        <w:overflowPunct w:val="0"/>
        <w:ind w:firstLine="640" w:firstLineChars="200"/>
        <w:rPr>
          <w:color w:val="000000"/>
          <w:szCs w:val="32"/>
        </w:rPr>
      </w:pPr>
      <w:r>
        <w:rPr>
          <w:rFonts w:ascii="仿宋" w:hAnsi="仿宋" w:eastAsia="仿宋" w:cs="仿宋"/>
          <w:color w:val="000000"/>
          <w:szCs w:val="32"/>
          <w:lang w:bidi="ar"/>
        </w:rPr>
        <w:t>打造</w:t>
      </w:r>
      <w:r>
        <w:rPr>
          <w:rFonts w:ascii="仿宋" w:hAnsi="仿宋" w:eastAsia="仿宋"/>
          <w:color w:val="000000"/>
          <w:szCs w:val="32"/>
          <w:lang w:bidi="ar"/>
        </w:rPr>
        <w:t>“中医药+”融合发展“成都模式”</w:t>
      </w:r>
      <w:r>
        <w:rPr>
          <w:rFonts w:ascii="仿宋_GB2312" w:cs="仿宋_GB2312"/>
          <w:color w:val="000000"/>
          <w:szCs w:val="32"/>
          <w:lang w:bidi="ar"/>
        </w:rPr>
        <w:t>。推进全市中医药旅游业转型升级，</w:t>
      </w:r>
      <w:r>
        <w:rPr>
          <w:rFonts w:ascii="仿宋" w:hAnsi="仿宋" w:eastAsia="仿宋" w:cs="仿宋"/>
          <w:color w:val="000000"/>
          <w:szCs w:val="32"/>
          <w:lang w:bidi="ar"/>
        </w:rPr>
        <w:t>将中医药融入森林康养、旅游文化、生态本底，推动</w:t>
      </w:r>
      <w:r>
        <w:rPr>
          <w:rFonts w:ascii="仿宋" w:hAnsi="仿宋" w:eastAsia="仿宋"/>
          <w:color w:val="000000"/>
          <w:szCs w:val="32"/>
          <w:lang w:bidi="ar"/>
        </w:rPr>
        <w:t>“中医药+”产业向多元化、精细化发展。在</w:t>
      </w:r>
      <w:r>
        <w:rPr>
          <w:rFonts w:ascii="仿宋" w:hAnsi="仿宋" w:eastAsia="仿宋" w:cs="仿宋"/>
          <w:color w:val="000000"/>
          <w:szCs w:val="32"/>
          <w:lang w:bidi="ar"/>
        </w:rPr>
        <w:t>青城山、西岭雪山、熊猫谷、</w:t>
      </w:r>
      <w:r>
        <w:rPr>
          <w:rFonts w:ascii="仿宋_GB2312" w:hAnsi="仿宋"/>
          <w:szCs w:val="32"/>
        </w:rPr>
        <w:t>芳华桂城、</w:t>
      </w:r>
      <w:r>
        <w:rPr>
          <w:rFonts w:ascii="仿宋" w:hAnsi="仿宋" w:eastAsia="仿宋" w:cs="仿宋"/>
          <w:color w:val="000000"/>
          <w:szCs w:val="32"/>
          <w:lang w:bidi="ar"/>
        </w:rPr>
        <w:t>蜀道通衢园等景区、景点培育特色鲜明的优质中医药森林康养、文旅品牌。</w:t>
      </w:r>
      <w:r>
        <w:rPr>
          <w:rFonts w:ascii="仿宋_GB2312" w:cs="仿宋_GB2312"/>
          <w:color w:val="000000"/>
          <w:szCs w:val="32"/>
          <w:lang w:bidi="ar"/>
        </w:rPr>
        <w:t>深化都江堰市</w:t>
      </w:r>
      <w:r>
        <w:rPr>
          <w:rFonts w:hint="eastAsia" w:ascii="仿宋_GB2312" w:hAnsi="仿宋_GB2312" w:cs="仿宋_GB2312"/>
          <w:color w:val="000000"/>
          <w:szCs w:val="32"/>
          <w:lang w:bidi="ar"/>
        </w:rPr>
        <w:t>“国家中医药健康旅游示范区”及</w:t>
      </w:r>
      <w:r>
        <w:rPr>
          <w:color w:val="000000"/>
          <w:szCs w:val="32"/>
          <w:lang w:bidi="ar"/>
        </w:rPr>
        <w:t>彭州市宝山等8</w:t>
      </w:r>
      <w:r>
        <w:rPr>
          <w:rFonts w:ascii="仿宋_GB2312" w:cs="仿宋_GB2312"/>
          <w:color w:val="000000"/>
          <w:szCs w:val="32"/>
          <w:lang w:bidi="ar"/>
        </w:rPr>
        <w:t>家</w:t>
      </w:r>
      <w:r>
        <w:rPr>
          <w:rFonts w:hint="eastAsia" w:ascii="仿宋_GB2312" w:cs="仿宋_GB2312"/>
          <w:color w:val="000000"/>
          <w:szCs w:val="32"/>
          <w:lang w:bidi="ar"/>
        </w:rPr>
        <w:t>省级</w:t>
      </w:r>
      <w:r>
        <w:rPr>
          <w:rFonts w:ascii="仿宋_GB2312" w:cs="仿宋_GB2312"/>
          <w:color w:val="000000"/>
          <w:szCs w:val="32"/>
          <w:lang w:bidi="ar"/>
        </w:rPr>
        <w:t>中医药健康旅游示范基地项目建设。鼓励各区（市）县争创国家级、省级中医药健康旅游示范基地。助力美丽宜居公园城市建设，利用城市公园、绿道、旅游景点、公共场所等资源，进一步建设中医药文化特色小镇、示范园区、题材公园、文化场馆、体验场所等。</w:t>
      </w:r>
    </w:p>
    <w:p>
      <w:pPr>
        <w:widowControl w:val="0"/>
        <w:overflowPunct w:val="0"/>
        <w:ind w:firstLine="640" w:firstLineChars="200"/>
      </w:pPr>
      <w:r>
        <w:rPr>
          <w:rFonts w:hint="eastAsia"/>
        </w:rPr>
        <w:t>发展中医药养生保健服务。推广中医健康养生理念，倡导健康文明生活方式。支持各级各类医疗机构开展</w:t>
      </w:r>
      <w:r>
        <w:t>中医体质辨识、亚健康调理、健康管理</w:t>
      </w:r>
      <w:r>
        <w:rPr>
          <w:rFonts w:hint="eastAsia"/>
        </w:rPr>
        <w:t>中医</w:t>
      </w:r>
      <w:r>
        <w:t>特色服务</w:t>
      </w:r>
      <w:r>
        <w:rPr>
          <w:rFonts w:hint="eastAsia"/>
        </w:rPr>
        <w:t>。鼓励公立中医医院开发药膳食疗、季节养生、美容保健等健康养生项目和产品，为社会办养生保健机构提供指导和合作。支持社会力量举办规范的、连锁化中医养生保健机构。普及推广太极拳、八段锦、五禽戏等中医传统体育。</w:t>
      </w:r>
    </w:p>
    <w:p>
      <w:pPr>
        <w:widowControl w:val="0"/>
        <w:overflowPunct w:val="0"/>
        <w:ind w:firstLine="640" w:firstLineChars="200"/>
      </w:pPr>
      <w:r>
        <w:rPr>
          <w:rFonts w:hint="eastAsia"/>
        </w:rPr>
        <w:t>推进中医药健康养老服务。推进中医医院适老化改造，</w:t>
      </w:r>
      <w:r>
        <w:t>开展老年友善医疗结构创建工作，促进医疗机构完善相关制度措施，优化老年人就医流程，提供老年友善服务。支持老年病专科建设和专病研究，</w:t>
      </w:r>
      <w:bookmarkStart w:id="38" w:name="_Hlk90927459"/>
      <w:r>
        <w:t>二级以上中医医院</w:t>
      </w:r>
      <w:r>
        <w:rPr>
          <w:rFonts w:hint="eastAsia"/>
        </w:rPr>
        <w:t>老年病科</w:t>
      </w:r>
      <w:r>
        <w:t>设置率达到80%以上。</w:t>
      </w:r>
      <w:bookmarkEnd w:id="38"/>
      <w:r>
        <w:t>支持</w:t>
      </w:r>
      <w:r>
        <w:rPr>
          <w:rFonts w:hint="eastAsia"/>
        </w:rPr>
        <w:t>有条件的中医医院开展中医医养结合服务，</w:t>
      </w:r>
      <w:r>
        <w:t>促进中医药健康养老服务体系建设，</w:t>
      </w:r>
      <w:r>
        <w:rPr>
          <w:rFonts w:hint="eastAsia"/>
        </w:rPr>
        <w:t>促进中医药适宜技术和项目在老年群体中广泛应用。</w:t>
      </w:r>
      <w:r>
        <w:t>支持二级及以下医院、</w:t>
      </w:r>
      <w:r>
        <w:rPr>
          <w:rFonts w:hint="eastAsia"/>
        </w:rPr>
        <w:t>基层医疗机构拓展社区和居家中医药健康养老服务</w:t>
      </w:r>
      <w:r>
        <w:t>，通过家庭病床、上门巡诊、家庭医生签约、远程医疗等方式增加居家医疗服务供给。鼓励社会资本参与中医药健康养老服务，加强中医药康养人才队伍建设。</w:t>
      </w:r>
    </w:p>
    <w:tbl>
      <w:tblPr>
        <w:tblStyle w:val="15"/>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overflowPunct w:val="0"/>
              <w:spacing w:line="240" w:lineRule="auto"/>
              <w:jc w:val="center"/>
              <w:rPr>
                <w:rFonts w:ascii="黑体" w:hAnsi="黑体" w:eastAsia="黑体"/>
                <w:color w:val="000000"/>
                <w:spacing w:val="2"/>
                <w:kern w:val="10"/>
                <w:position w:val="2"/>
                <w:szCs w:val="32"/>
              </w:rPr>
            </w:pPr>
            <w:r>
              <w:rPr>
                <w:rFonts w:hint="eastAsia" w:ascii="黑体" w:hAnsi="黑体" w:eastAsia="黑体" w:cs="仿宋_GB2312"/>
                <w:bCs/>
                <w:color w:val="000000"/>
                <w:kern w:val="0"/>
                <w:szCs w:val="32"/>
              </w:rPr>
              <w:t>专栏</w:t>
            </w:r>
            <w:r>
              <w:rPr>
                <w:rFonts w:ascii="黑体" w:hAnsi="黑体" w:eastAsia="黑体" w:cs="仿宋_GB2312"/>
                <w:bCs/>
                <w:color w:val="000000"/>
                <w:kern w:val="0"/>
                <w:szCs w:val="32"/>
              </w:rPr>
              <w:t>3</w:t>
            </w:r>
            <w:r>
              <w:rPr>
                <w:rFonts w:hint="eastAsia" w:ascii="黑体" w:hAnsi="黑体" w:eastAsia="黑体" w:cs="仿宋_GB2312"/>
                <w:bCs/>
                <w:color w:val="000000"/>
                <w:kern w:val="0"/>
                <w:szCs w:val="32"/>
              </w:rPr>
              <w:t>推进中医药产业高质量发展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0"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napToGrid/>
              <w:ind w:firstLine="640" w:firstLineChars="200"/>
              <w:rPr>
                <w:rFonts w:cs="仿宋_GB2312"/>
                <w:szCs w:val="28"/>
              </w:rPr>
            </w:pPr>
            <w:r>
              <w:rPr>
                <w:rFonts w:cs="仿宋_GB2312"/>
                <w:szCs w:val="28"/>
              </w:rPr>
              <w:t>支持</w:t>
            </w:r>
            <w:r>
              <w:rPr>
                <w:rFonts w:hint="eastAsia" w:cs="仿宋_GB2312"/>
                <w:szCs w:val="28"/>
              </w:rPr>
              <w:t>都江堰市、彭州市等</w:t>
            </w:r>
            <w:r>
              <w:rPr>
                <w:rFonts w:cs="仿宋_GB2312"/>
                <w:szCs w:val="28"/>
              </w:rPr>
              <w:t>区（市）县</w:t>
            </w:r>
            <w:r>
              <w:rPr>
                <w:rFonts w:hint="eastAsia" w:cs="仿宋_GB2312"/>
                <w:szCs w:val="28"/>
              </w:rPr>
              <w:t>争创省级中医药产业发展示范县、重点县</w:t>
            </w:r>
            <w:r>
              <w:rPr>
                <w:rFonts w:cs="仿宋_GB2312"/>
                <w:szCs w:val="28"/>
              </w:rPr>
              <w:t>，培育</w:t>
            </w:r>
            <w:r>
              <w:rPr>
                <w:rFonts w:hint="eastAsia" w:cs="仿宋_GB2312"/>
                <w:szCs w:val="28"/>
              </w:rPr>
              <w:t>川芎、郁金、明参等</w:t>
            </w:r>
            <w:r>
              <w:rPr>
                <w:rFonts w:cs="仿宋_GB2312"/>
                <w:szCs w:val="28"/>
              </w:rPr>
              <w:t>知名</w:t>
            </w:r>
            <w:r>
              <w:rPr>
                <w:rFonts w:hint="eastAsia" w:cs="仿宋_GB2312"/>
                <w:szCs w:val="28"/>
              </w:rPr>
              <w:t>中药材</w:t>
            </w:r>
            <w:r>
              <w:rPr>
                <w:rFonts w:cs="仿宋_GB2312"/>
                <w:szCs w:val="28"/>
              </w:rPr>
              <w:t>品牌</w:t>
            </w:r>
            <w:r>
              <w:rPr>
                <w:rFonts w:hint="eastAsia" w:cs="仿宋_GB2312"/>
                <w:szCs w:val="28"/>
              </w:rPr>
              <w:t>。</w:t>
            </w:r>
          </w:p>
          <w:p>
            <w:pPr>
              <w:widowControl w:val="0"/>
              <w:snapToGrid/>
              <w:ind w:firstLine="640" w:firstLineChars="200"/>
              <w:rPr>
                <w:rFonts w:cs="仿宋_GB2312"/>
                <w:color w:val="000000"/>
                <w:szCs w:val="28"/>
              </w:rPr>
            </w:pPr>
            <w:r>
              <w:rPr>
                <w:rFonts w:hint="eastAsia" w:cs="仿宋_GB2312"/>
                <w:color w:val="000000"/>
                <w:szCs w:val="28"/>
              </w:rPr>
              <w:t>支持天府中药城等中医药产业园区建设，</w:t>
            </w:r>
            <w:r>
              <w:rPr>
                <w:rFonts w:hint="eastAsia"/>
                <w:color w:val="000000"/>
                <w:szCs w:val="28"/>
              </w:rPr>
              <w:t>培育区域公共品牌和企业知名品牌</w:t>
            </w:r>
            <w:r>
              <w:rPr>
                <w:color w:val="000000"/>
                <w:szCs w:val="28"/>
              </w:rPr>
              <w:t>，打造龙头企业</w:t>
            </w:r>
            <w:r>
              <w:rPr>
                <w:rFonts w:hint="eastAsia" w:cs="仿宋_GB2312"/>
                <w:color w:val="000000"/>
                <w:szCs w:val="28"/>
              </w:rPr>
              <w:t>。</w:t>
            </w:r>
          </w:p>
          <w:p>
            <w:pPr>
              <w:widowControl w:val="0"/>
              <w:snapToGrid/>
              <w:ind w:firstLine="640" w:firstLineChars="200"/>
              <w:rPr>
                <w:rFonts w:cs="仿宋_GB2312"/>
                <w:szCs w:val="28"/>
              </w:rPr>
            </w:pPr>
            <w:r>
              <w:rPr>
                <w:rFonts w:ascii="仿宋" w:hAnsi="仿宋" w:eastAsia="仿宋"/>
                <w:color w:val="000000"/>
                <w:szCs w:val="32"/>
                <w:lang w:bidi="ar"/>
              </w:rPr>
              <w:t>推进“中医药+”融合发展</w:t>
            </w:r>
            <w:r>
              <w:rPr>
                <w:rFonts w:cs="仿宋_GB2312"/>
                <w:color w:val="000000"/>
                <w:szCs w:val="28"/>
              </w:rPr>
              <w:t>。</w:t>
            </w:r>
            <w:r>
              <w:rPr>
                <w:rFonts w:hint="eastAsia"/>
                <w:color w:val="000000"/>
              </w:rPr>
              <w:t>新创中医药健康旅游示范基地3-5个，</w:t>
            </w:r>
            <w:r>
              <w:rPr>
                <w:rFonts w:hint="eastAsia" w:ascii="仿宋_GB2312" w:hAnsi="仿宋"/>
                <w:szCs w:val="32"/>
              </w:rPr>
              <w:t>以青城山、西岭雪山、熊猫谷、</w:t>
            </w:r>
            <w:r>
              <w:rPr>
                <w:rFonts w:ascii="仿宋_GB2312" w:hAnsi="仿宋"/>
                <w:szCs w:val="32"/>
              </w:rPr>
              <w:t>芳华桂城、蜀州通</w:t>
            </w:r>
            <w:r>
              <w:rPr>
                <w:rFonts w:hint="eastAsia" w:ascii="仿宋_GB2312" w:hAnsi="仿宋"/>
                <w:szCs w:val="32"/>
              </w:rPr>
              <w:t>衢</w:t>
            </w:r>
            <w:r>
              <w:rPr>
                <w:rFonts w:ascii="仿宋_GB2312" w:hAnsi="仿宋"/>
                <w:szCs w:val="32"/>
              </w:rPr>
              <w:t>园</w:t>
            </w:r>
            <w:r>
              <w:rPr>
                <w:rFonts w:hint="eastAsia" w:ascii="仿宋_GB2312" w:hAnsi="仿宋"/>
                <w:szCs w:val="32"/>
              </w:rPr>
              <w:t>等景区、景点、</w:t>
            </w:r>
            <w:r>
              <w:rPr>
                <w:rFonts w:ascii="仿宋_GB2312" w:hAnsi="仿宋"/>
                <w:szCs w:val="32"/>
              </w:rPr>
              <w:t>绿道</w:t>
            </w:r>
            <w:r>
              <w:rPr>
                <w:rFonts w:hint="eastAsia" w:ascii="仿宋_GB2312" w:hAnsi="仿宋"/>
                <w:szCs w:val="32"/>
              </w:rPr>
              <w:t>为</w:t>
            </w:r>
            <w:r>
              <w:rPr>
                <w:rFonts w:ascii="仿宋_GB2312" w:hAnsi="仿宋"/>
                <w:szCs w:val="32"/>
              </w:rPr>
              <w:t>承载</w:t>
            </w:r>
            <w:r>
              <w:rPr>
                <w:rFonts w:hint="eastAsia"/>
                <w:color w:val="000000"/>
              </w:rPr>
              <w:t>，推出中医药健康旅游线路</w:t>
            </w:r>
            <w:r>
              <w:rPr>
                <w:color w:val="000000"/>
              </w:rPr>
              <w:t>5</w:t>
            </w:r>
            <w:r>
              <w:rPr>
                <w:rFonts w:hint="eastAsia"/>
                <w:color w:val="000000"/>
              </w:rPr>
              <w:t>-</w:t>
            </w:r>
            <w:r>
              <w:rPr>
                <w:color w:val="000000"/>
              </w:rPr>
              <w:t>8</w:t>
            </w:r>
            <w:r>
              <w:rPr>
                <w:rFonts w:hint="eastAsia"/>
                <w:color w:val="000000"/>
              </w:rPr>
              <w:t>条。</w:t>
            </w:r>
            <w:r>
              <w:rPr>
                <w:rFonts w:hint="eastAsia" w:cs="仿宋_GB2312"/>
                <w:color w:val="000000"/>
                <w:szCs w:val="28"/>
              </w:rPr>
              <w:t>开展老年友善医疗结构创建工作，二级以上中医医院老年病科设置率达到80%以上</w:t>
            </w:r>
            <w:r>
              <w:rPr>
                <w:rFonts w:hint="eastAsia"/>
                <w:color w:val="000000"/>
              </w:rPr>
              <w:t>。</w:t>
            </w:r>
          </w:p>
        </w:tc>
      </w:tr>
    </w:tbl>
    <w:p>
      <w:pPr>
        <w:widowControl w:val="0"/>
        <w:overflowPunct w:val="0"/>
        <w:snapToGrid/>
        <w:jc w:val="center"/>
        <w:outlineLvl w:val="0"/>
        <w:rPr>
          <w:rFonts w:ascii="黑体" w:hAnsi="黑体" w:eastAsia="黑体"/>
          <w:sz w:val="15"/>
          <w:szCs w:val="15"/>
        </w:rPr>
      </w:pPr>
      <w:bookmarkStart w:id="39" w:name="_Toc10192_WPSOffice_Level1"/>
    </w:p>
    <w:p>
      <w:pPr>
        <w:widowControl w:val="0"/>
        <w:overflowPunct w:val="0"/>
        <w:snapToGrid/>
        <w:spacing w:before="156" w:beforeLines="50"/>
        <w:jc w:val="center"/>
        <w:outlineLvl w:val="0"/>
        <w:rPr>
          <w:rFonts w:ascii="黑体" w:hAnsi="黑体" w:eastAsia="黑体"/>
        </w:rPr>
      </w:pPr>
      <w:r>
        <w:rPr>
          <w:rFonts w:hint="eastAsia" w:ascii="黑体" w:hAnsi="黑体" w:eastAsia="黑体"/>
        </w:rPr>
        <w:t>第</w:t>
      </w:r>
      <w:r>
        <w:rPr>
          <w:rFonts w:ascii="黑体" w:hAnsi="黑体" w:eastAsia="黑体"/>
        </w:rPr>
        <w:t>五</w:t>
      </w:r>
      <w:r>
        <w:rPr>
          <w:rFonts w:hint="eastAsia" w:ascii="黑体" w:hAnsi="黑体" w:eastAsia="黑体"/>
        </w:rPr>
        <w:t>章  推进中</w:t>
      </w:r>
      <w:r>
        <w:rPr>
          <w:rFonts w:ascii="黑体" w:hAnsi="黑体" w:eastAsia="黑体"/>
        </w:rPr>
        <w:t>医</w:t>
      </w:r>
      <w:r>
        <w:rPr>
          <w:rFonts w:hint="eastAsia" w:ascii="黑体" w:hAnsi="黑体" w:eastAsia="黑体"/>
        </w:rPr>
        <w:t>药</w:t>
      </w:r>
      <w:r>
        <w:rPr>
          <w:rFonts w:ascii="黑体" w:hAnsi="黑体" w:eastAsia="黑体"/>
        </w:rPr>
        <w:t>传承与创新</w:t>
      </w:r>
      <w:r>
        <w:rPr>
          <w:rFonts w:hint="eastAsia" w:ascii="黑体" w:hAnsi="黑体" w:eastAsia="黑体"/>
        </w:rPr>
        <w:t>发展</w:t>
      </w:r>
      <w:bookmarkEnd w:id="39"/>
    </w:p>
    <w:p>
      <w:pPr>
        <w:widowControl w:val="0"/>
        <w:overflowPunct w:val="0"/>
        <w:snapToGrid/>
        <w:jc w:val="center"/>
        <w:outlineLvl w:val="1"/>
        <w:rPr>
          <w:rFonts w:ascii="楷体_GB2312" w:eastAsia="楷体_GB2312"/>
        </w:rPr>
      </w:pPr>
      <w:bookmarkStart w:id="40" w:name="_Toc30925_WPSOffice_Level2"/>
      <w:r>
        <w:rPr>
          <w:rFonts w:hint="eastAsia" w:ascii="楷体_GB2312" w:eastAsia="楷体_GB2312"/>
        </w:rPr>
        <w:t>第</w:t>
      </w:r>
      <w:r>
        <w:rPr>
          <w:rFonts w:ascii="楷体_GB2312" w:eastAsia="楷体_GB2312"/>
        </w:rPr>
        <w:t>一</w:t>
      </w:r>
      <w:r>
        <w:rPr>
          <w:rFonts w:hint="eastAsia" w:ascii="楷体_GB2312" w:eastAsia="楷体_GB2312"/>
        </w:rPr>
        <w:t xml:space="preserve">节  </w:t>
      </w:r>
      <w:r>
        <w:rPr>
          <w:rFonts w:ascii="楷体_GB2312" w:eastAsia="楷体_GB2312"/>
        </w:rPr>
        <w:t>传承弘扬中医药文化</w:t>
      </w:r>
      <w:bookmarkEnd w:id="40"/>
    </w:p>
    <w:p>
      <w:pPr>
        <w:widowControl w:val="0"/>
        <w:overflowPunct w:val="0"/>
        <w:snapToGrid/>
        <w:ind w:firstLine="640" w:firstLineChars="200"/>
      </w:pPr>
      <w:r>
        <w:rPr>
          <w:rFonts w:hint="eastAsia"/>
        </w:rPr>
        <w:t>加强中医药文化传承保护。推进“天回医简”等中医药出土医学文献文物研究与运用。支持名老中医药专家设立以其学术优势和特色为核心的传承工作室、流派工作室、</w:t>
      </w:r>
      <w:r>
        <w:t>技能大师工作室等</w:t>
      </w:r>
      <w:r>
        <w:rPr>
          <w:rFonts w:hint="eastAsia"/>
        </w:rPr>
        <w:t>，促进中医药学术传承向临床服务转化</w:t>
      </w:r>
      <w:r>
        <w:t>。</w:t>
      </w:r>
      <w:r>
        <w:rPr>
          <w:rFonts w:hint="eastAsia"/>
        </w:rPr>
        <w:t>全面系统继承名老中医药专家学术思想、临床经验和技术专长，加强对传统制药、鉴定、炮制技术及老药工经验的继承应用。</w:t>
      </w:r>
      <w:r>
        <w:t>做好中医药特色理论、技术、疗法、方药等非物质文化遗产的挖掘、整理、研究和应用工作，推进国家级、省级非物质文化遗产项目申报</w:t>
      </w:r>
      <w:r>
        <w:rPr>
          <w:rFonts w:hint="eastAsia"/>
        </w:rPr>
        <w:t>。</w:t>
      </w:r>
    </w:p>
    <w:p>
      <w:pPr>
        <w:widowControl w:val="0"/>
        <w:overflowPunct w:val="0"/>
        <w:snapToGrid/>
        <w:ind w:firstLine="640" w:firstLineChars="200"/>
      </w:pPr>
      <w:r>
        <w:t>强化中医药文化阵地建设</w:t>
      </w:r>
      <w:r>
        <w:rPr>
          <w:rFonts w:hint="eastAsia"/>
        </w:rPr>
        <w:t>。支持一批具有中医药文化氛围浓厚、内涵丰富、科普性强、辐射带动作用好的科研院所、医疗机构、场馆、企业、学校等</w:t>
      </w:r>
      <w:r>
        <w:t>，积极争创国家级、省级中医药文化宣传教育基地</w:t>
      </w:r>
      <w:r>
        <w:rPr>
          <w:rFonts w:hint="eastAsia"/>
        </w:rPr>
        <w:t>和中医药文化</w:t>
      </w:r>
      <w:r>
        <w:t>传</w:t>
      </w:r>
      <w:r>
        <w:rPr>
          <w:rFonts w:hint="eastAsia"/>
        </w:rPr>
        <w:t>承基地</w:t>
      </w:r>
      <w:r>
        <w:t>。</w:t>
      </w:r>
      <w:r>
        <w:rPr>
          <w:rFonts w:hint="eastAsia"/>
        </w:rPr>
        <w:t>推进“中医药特色街区”“林盘诊所”等</w:t>
      </w:r>
      <w:r>
        <w:t>中医药文化场景</w:t>
      </w:r>
      <w:r>
        <w:rPr>
          <w:rFonts w:hint="eastAsia"/>
        </w:rPr>
        <w:t>建设</w:t>
      </w:r>
      <w:r>
        <w:t>。支持各级各类医疗机构、教育机构、科研机构、企事业单位、社会团体建设中医药博物馆、展览馆和服务体验区，在综合性博物馆设立中医药文化展区。支持建设中医药文化研学实践教育基地，面向中小学生组织开展丰富多彩的中医药研学实践教育活动。</w:t>
      </w:r>
    </w:p>
    <w:p>
      <w:pPr>
        <w:widowControl w:val="0"/>
        <w:overflowPunct w:val="0"/>
        <w:snapToGrid/>
        <w:ind w:firstLine="640" w:firstLineChars="200"/>
      </w:pPr>
      <w:r>
        <w:rPr>
          <w:rFonts w:hint="eastAsia"/>
        </w:rPr>
        <w:t>推动中医药文化宣传普及。将“健康成都·中医养生堂”作为成都中医科普的标志性品牌，</w:t>
      </w:r>
      <w:r>
        <w:t>推广中医治未病及健康养生文化，定期开展治未病知识培训宣传每年不少于6次。</w:t>
      </w:r>
      <w:r>
        <w:rPr>
          <w:rFonts w:hint="eastAsia"/>
        </w:rPr>
        <w:t>推进中小学</w:t>
      </w:r>
      <w:r>
        <w:t>建设市级中医药文化传承基地</w:t>
      </w:r>
      <w:r>
        <w:rPr>
          <w:rFonts w:hint="eastAsia"/>
        </w:rPr>
        <w:t>学</w:t>
      </w:r>
      <w:r>
        <w:t>校</w:t>
      </w:r>
      <w:r>
        <w:rPr>
          <w:rFonts w:hint="eastAsia"/>
        </w:rPr>
        <w:t>，</w:t>
      </w:r>
      <w:r>
        <w:t>编制中小学中医药文化读本，</w:t>
      </w:r>
      <w:r>
        <w:rPr>
          <w:rFonts w:hint="eastAsia"/>
        </w:rPr>
        <w:t>鼓励幼儿园开展中医药文化启蒙教育，将中医药文化纳入党校、行政干部学院课程。持续推进“成都名中医流动车”进基层开展群众义诊和中医药文化宣传活动。</w:t>
      </w:r>
      <w:r>
        <w:t>综合运用数字电视、短视频、触摸媒体等新型手段</w:t>
      </w:r>
      <w:r>
        <w:rPr>
          <w:rFonts w:hint="eastAsia"/>
        </w:rPr>
        <w:t>，扩大中医药健康文化知识覆盖范围</w:t>
      </w:r>
      <w:r>
        <w:t>。大力支持中医药题材文艺创作和文创产品开发，制作推出一批优秀的中医药文化科普创意作品和中医药动漫、短视频等新媒体作品，讲好成都中医药故事。</w:t>
      </w:r>
    </w:p>
    <w:p>
      <w:pPr>
        <w:widowControl w:val="0"/>
        <w:overflowPunct w:val="0"/>
        <w:snapToGrid/>
        <w:ind w:firstLine="640" w:firstLineChars="200"/>
        <w:rPr>
          <w:rFonts w:ascii="楷体_GB2312" w:eastAsia="楷体_GB2312"/>
        </w:rPr>
      </w:pPr>
      <w:r>
        <w:t>加强</w:t>
      </w:r>
      <w:r>
        <w:rPr>
          <w:rFonts w:hint="eastAsia"/>
        </w:rPr>
        <w:t>中医药文化</w:t>
      </w:r>
      <w:r>
        <w:t>科普队伍建设。将中医药文化建设纳入各级医疗机构、中医药教育及科研机构的培训计划。组建中医药文化科普队伍，广泛开展中医药文化科普</w:t>
      </w:r>
      <w:r>
        <w:rPr>
          <w:rFonts w:hint="eastAsia"/>
        </w:rPr>
        <w:t>活动</w:t>
      </w:r>
      <w:r>
        <w:t>。</w:t>
      </w:r>
      <w:r>
        <w:rPr>
          <w:rFonts w:hint="eastAsia"/>
        </w:rPr>
        <w:t>每个中医医疗机构、基层医疗卫生机构设1名中医药科普宣传员，营造珍视、热爱、发展中医药的良好氛围。</w:t>
      </w:r>
      <w:r>
        <w:t>对中医药文化建设中有突出贡献的单位和个人给予奖励支持。</w:t>
      </w:r>
      <w:bookmarkStart w:id="41" w:name="_Toc2060_WPSOffice_Level2"/>
    </w:p>
    <w:p>
      <w:pPr>
        <w:widowControl w:val="0"/>
        <w:overflowPunct w:val="0"/>
        <w:snapToGrid/>
        <w:jc w:val="center"/>
        <w:outlineLvl w:val="1"/>
        <w:rPr>
          <w:rFonts w:ascii="楷体_GB2312" w:eastAsia="楷体_GB2312"/>
        </w:rPr>
      </w:pPr>
      <w:r>
        <w:rPr>
          <w:rFonts w:hint="eastAsia" w:ascii="楷体_GB2312" w:eastAsia="楷体_GB2312"/>
        </w:rPr>
        <w:t>第</w:t>
      </w:r>
      <w:r>
        <w:rPr>
          <w:rFonts w:ascii="楷体_GB2312" w:eastAsia="楷体_GB2312"/>
        </w:rPr>
        <w:t>二</w:t>
      </w:r>
      <w:r>
        <w:rPr>
          <w:rFonts w:hint="eastAsia" w:ascii="楷体_GB2312" w:eastAsia="楷体_GB2312"/>
        </w:rPr>
        <w:t>节  推进中医药科技创新</w:t>
      </w:r>
      <w:bookmarkEnd w:id="41"/>
    </w:p>
    <w:p>
      <w:pPr>
        <w:widowControl w:val="0"/>
        <w:overflowPunct w:val="0"/>
        <w:snapToGrid/>
        <w:ind w:firstLine="640" w:firstLineChars="200"/>
      </w:pPr>
      <w:r>
        <w:rPr>
          <w:rFonts w:hint="eastAsia"/>
        </w:rPr>
        <w:t>强化中医药协同创新。实施建设中医药科技创新高地行动，依托西部(成都)科学城、天府中医药创新港、天府实验室高标准建设</w:t>
      </w:r>
      <w:r>
        <w:t>等项目</w:t>
      </w:r>
      <w:r>
        <w:rPr>
          <w:rFonts w:hint="eastAsia"/>
        </w:rPr>
        <w:t>，开展中医药科技创新。推动成渝地区双城经济圈区域内高校、科研院所、医疗机构、企业等建设中医药创新平台，</w:t>
      </w:r>
      <w:r>
        <w:t>积极导入研发机构、科技孵化器、金融机构、高新技术企业等各类产业要素，</w:t>
      </w:r>
      <w:r>
        <w:rPr>
          <w:rFonts w:hint="eastAsia"/>
        </w:rPr>
        <w:t>开展中医药科研领域联合攻关。推进省部共建西南特色中药资源国家重点实验室和国家中医临床研究基地建设。加强中医药创新主体培育，构建高新技术企业孵化体系。深入开展跨学科中医药研究项目，推动中药提取物及衍生产品的开发、生产、市场推广多元化、集约化和标准化发展，争取在中药新产品、中医药大健康产品及</w:t>
      </w:r>
      <w:r>
        <w:t>关键技术</w:t>
      </w:r>
      <w:r>
        <w:rPr>
          <w:rFonts w:hint="eastAsia"/>
        </w:rPr>
        <w:t>装备等领域取得新突破。推进中医理论创新、技术创新、药物创新，不断提高诊疗水平，增强应用中医药技术方法诊治急危重症及疑难病例的能力。</w:t>
      </w:r>
    </w:p>
    <w:p>
      <w:pPr>
        <w:widowControl w:val="0"/>
        <w:overflowPunct w:val="0"/>
        <w:snapToGrid/>
        <w:ind w:firstLine="640" w:firstLineChars="200"/>
      </w:pPr>
      <w:r>
        <w:rPr>
          <w:rFonts w:hint="eastAsia"/>
        </w:rPr>
        <w:t>促进中医药科研成果转化。构建知识产权和科技成果转化权益保障机制，激发科研人员创新创造活力，推动科技成果转化与应用。推动创新链和产业链互联互通，鼓励中医医院与企业、科研机构、学校加强协作、共享资源，促进优秀研究成果投入市场应用。</w:t>
      </w:r>
    </w:p>
    <w:p>
      <w:pPr>
        <w:widowControl w:val="0"/>
        <w:overflowPunct w:val="0"/>
        <w:snapToGrid/>
        <w:jc w:val="center"/>
        <w:outlineLvl w:val="1"/>
        <w:rPr>
          <w:rFonts w:ascii="楷体_GB2312" w:eastAsia="楷体_GB2312"/>
        </w:rPr>
      </w:pPr>
      <w:bookmarkStart w:id="42" w:name="_Toc31840_WPSOffice_Level2"/>
      <w:r>
        <w:rPr>
          <w:rFonts w:hint="eastAsia" w:ascii="楷体_GB2312" w:eastAsia="楷体_GB2312"/>
        </w:rPr>
        <w:t>第三节  推动中医药开放发展</w:t>
      </w:r>
      <w:bookmarkEnd w:id="42"/>
    </w:p>
    <w:p>
      <w:pPr>
        <w:widowControl w:val="0"/>
        <w:overflowPunct w:val="0"/>
        <w:snapToGrid/>
        <w:ind w:firstLine="640" w:firstLineChars="200"/>
      </w:pPr>
      <w:r>
        <w:rPr>
          <w:rFonts w:hint="eastAsia"/>
        </w:rPr>
        <w:t>加强中医药国际合作交流。鼓励中医药医疗、教育、科研机构及中药企业、社会团体全方位、多形式加强与“一带一路”沿线国家、港澳台等开展中医药文化宣传交流及项目合作。鼓励中医药人员到境外开展中医药诊疗服务。积极争取国家级国际中医药合作专项。支持开展中医药学术交流、文化传播、海外惠侨等大型活动。多元化发展中医药服务贸易，加速推进“互联网+中医药”融合发展。</w:t>
      </w:r>
    </w:p>
    <w:p>
      <w:pPr>
        <w:widowControl w:val="0"/>
        <w:overflowPunct w:val="0"/>
        <w:snapToGrid/>
        <w:spacing w:after="312" w:afterLines="100"/>
        <w:ind w:firstLine="640" w:firstLineChars="200"/>
      </w:pPr>
      <w:r>
        <w:rPr>
          <w:rFonts w:hint="eastAsia"/>
        </w:rPr>
        <w:t>深化中医药区域合作。凸显中医药在国际国内双循环相互促进新发展格局中的作用，推进成渝地区双城经济圈及成德眉资中医药一体化建设。坚持以发挥优势、彰显特色、协同发展为导向唱好“双城记”，</w:t>
      </w:r>
      <w:r>
        <w:t>推动</w:t>
      </w:r>
      <w:r>
        <w:rPr>
          <w:rFonts w:hint="eastAsia"/>
        </w:rPr>
        <w:t>双城经济圈中医药</w:t>
      </w:r>
      <w:r>
        <w:t>产业</w:t>
      </w:r>
      <w:r>
        <w:rPr>
          <w:rFonts w:hint="eastAsia"/>
        </w:rPr>
        <w:t>发展，提升两地中医药国际知名度和影响力。支持开展中医药学科建设、人才培养、文化传承、技术共享等交流合作，实现中医药资源优化配置、优势集成和互补，协同打造中医药创新策源地和成果转化区，培育现代中医药产业集群。推动“中医寻诊地图”覆盖成渝及德眉资等区域。</w:t>
      </w:r>
    </w:p>
    <w:tbl>
      <w:tblPr>
        <w:tblStyle w:val="15"/>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overflowPunct w:val="0"/>
              <w:spacing w:line="240" w:lineRule="auto"/>
              <w:jc w:val="center"/>
              <w:rPr>
                <w:rFonts w:ascii="黑体" w:hAnsi="黑体" w:eastAsia="黑体"/>
                <w:color w:val="000000"/>
                <w:spacing w:val="2"/>
                <w:kern w:val="10"/>
                <w:position w:val="2"/>
                <w:szCs w:val="32"/>
              </w:rPr>
            </w:pPr>
            <w:bookmarkStart w:id="43" w:name="_Hlk88319027"/>
            <w:r>
              <w:rPr>
                <w:rFonts w:hint="eastAsia" w:ascii="黑体" w:hAnsi="黑体" w:eastAsia="黑体" w:cs="仿宋_GB2312"/>
                <w:bCs/>
                <w:color w:val="000000"/>
                <w:kern w:val="0"/>
                <w:szCs w:val="32"/>
              </w:rPr>
              <w:t>专栏</w:t>
            </w:r>
            <w:r>
              <w:rPr>
                <w:rFonts w:ascii="黑体" w:hAnsi="黑体" w:eastAsia="黑体" w:cs="仿宋_GB2312"/>
                <w:bCs/>
                <w:color w:val="000000"/>
                <w:kern w:val="0"/>
                <w:szCs w:val="32"/>
              </w:rPr>
              <w:t>4 推进中医药传承与</w:t>
            </w:r>
            <w:r>
              <w:rPr>
                <w:rFonts w:hint="eastAsia" w:ascii="黑体" w:hAnsi="黑体" w:eastAsia="黑体" w:cs="仿宋_GB2312"/>
                <w:bCs/>
                <w:color w:val="000000"/>
                <w:kern w:val="0"/>
                <w:szCs w:val="32"/>
              </w:rPr>
              <w:t>创新</w:t>
            </w:r>
            <w:r>
              <w:rPr>
                <w:rFonts w:ascii="黑体" w:hAnsi="黑体" w:eastAsia="黑体" w:cs="仿宋_GB2312"/>
                <w:bCs/>
                <w:color w:val="000000"/>
                <w:kern w:val="0"/>
                <w:szCs w:val="32"/>
              </w:rPr>
              <w:t>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0" w:hRule="atLeast"/>
          <w:jc w:val="center"/>
        </w:trPr>
        <w:tc>
          <w:tcPr>
            <w:tcW w:w="9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snapToGrid/>
              <w:ind w:firstLine="640" w:firstLineChars="200"/>
              <w:rPr>
                <w:rFonts w:cs="仿宋_GB2312"/>
                <w:szCs w:val="28"/>
              </w:rPr>
            </w:pPr>
            <w:r>
              <w:rPr>
                <w:rFonts w:hint="eastAsia" w:cs="仿宋_GB2312"/>
                <w:szCs w:val="28"/>
              </w:rPr>
              <w:t>加强中医药文化宣传，建成</w:t>
            </w:r>
            <w:r>
              <w:rPr>
                <w:rFonts w:cs="仿宋_GB2312"/>
                <w:szCs w:val="28"/>
              </w:rPr>
              <w:t>5</w:t>
            </w:r>
            <w:r>
              <w:rPr>
                <w:rFonts w:hint="eastAsia" w:cs="仿宋_GB2312"/>
                <w:szCs w:val="28"/>
              </w:rPr>
              <w:t>-</w:t>
            </w:r>
            <w:r>
              <w:rPr>
                <w:rFonts w:cs="仿宋_GB2312"/>
                <w:szCs w:val="28"/>
              </w:rPr>
              <w:t>8</w:t>
            </w:r>
            <w:r>
              <w:rPr>
                <w:rFonts w:hint="eastAsia" w:cs="仿宋_GB2312"/>
                <w:szCs w:val="28"/>
              </w:rPr>
              <w:t>个省级中医药文化宣传教育基地，争创</w:t>
            </w:r>
            <w:r>
              <w:rPr>
                <w:rFonts w:cs="仿宋_GB2312"/>
                <w:szCs w:val="28"/>
              </w:rPr>
              <w:t>1</w:t>
            </w:r>
            <w:r>
              <w:rPr>
                <w:rFonts w:hint="eastAsia" w:cs="仿宋_GB2312"/>
                <w:szCs w:val="28"/>
              </w:rPr>
              <w:t>个国家中医药文化宣传教育基地</w:t>
            </w:r>
            <w:r>
              <w:rPr>
                <w:rFonts w:cs="仿宋_GB2312"/>
                <w:szCs w:val="28"/>
              </w:rPr>
              <w:t>，</w:t>
            </w:r>
            <w:r>
              <w:rPr>
                <w:rFonts w:cs="仿宋_GB2312"/>
                <w:color w:val="000000"/>
                <w:szCs w:val="28"/>
              </w:rPr>
              <w:t>建设30个市级中医药文化传承基地</w:t>
            </w:r>
            <w:r>
              <w:rPr>
                <w:rFonts w:hint="eastAsia" w:cs="仿宋_GB2312"/>
                <w:color w:val="000000"/>
                <w:szCs w:val="28"/>
              </w:rPr>
              <w:t>。</w:t>
            </w:r>
            <w:r>
              <w:rPr>
                <w:rFonts w:hint="eastAsia" w:cs="仿宋_GB2312"/>
                <w:szCs w:val="28"/>
              </w:rPr>
              <w:t>争取</w:t>
            </w:r>
            <w:r>
              <w:rPr>
                <w:rFonts w:cs="仿宋_GB2312"/>
                <w:szCs w:val="28"/>
              </w:rPr>
              <w:t>1</w:t>
            </w:r>
            <w:r>
              <w:rPr>
                <w:rFonts w:hint="eastAsia" w:cs="仿宋_GB2312"/>
                <w:szCs w:val="28"/>
              </w:rPr>
              <w:t>个中医药项目列入国家级非物质文化遗产名录。</w:t>
            </w:r>
            <w:r>
              <w:rPr>
                <w:rFonts w:hint="eastAsia"/>
                <w:szCs w:val="28"/>
              </w:rPr>
              <w:t>打造1-2个中医药特色文化街区</w:t>
            </w:r>
            <w:r>
              <w:rPr>
                <w:rFonts w:cs="仿宋_GB2312"/>
                <w:szCs w:val="28"/>
              </w:rPr>
              <w:t>，</w:t>
            </w:r>
            <w:r>
              <w:rPr>
                <w:color w:val="000000"/>
              </w:rPr>
              <w:t>培养300名以上</w:t>
            </w:r>
            <w:r>
              <w:rPr>
                <w:rFonts w:hint="eastAsia"/>
                <w:color w:val="000000"/>
              </w:rPr>
              <w:t>中医药科普宣传员</w:t>
            </w:r>
            <w:r>
              <w:rPr>
                <w:color w:val="000000"/>
              </w:rPr>
              <w:t>，</w:t>
            </w:r>
            <w:r>
              <w:rPr>
                <w:rFonts w:hint="eastAsia"/>
                <w:szCs w:val="28"/>
              </w:rPr>
              <w:t>创作</w:t>
            </w:r>
            <w:r>
              <w:rPr>
                <w:szCs w:val="28"/>
              </w:rPr>
              <w:t>1</w:t>
            </w:r>
            <w:r>
              <w:rPr>
                <w:rFonts w:hint="eastAsia"/>
                <w:szCs w:val="28"/>
              </w:rPr>
              <w:t>-</w:t>
            </w:r>
            <w:r>
              <w:rPr>
                <w:szCs w:val="28"/>
              </w:rPr>
              <w:t>2</w:t>
            </w:r>
            <w:r>
              <w:rPr>
                <w:rFonts w:hint="eastAsia"/>
                <w:szCs w:val="28"/>
              </w:rPr>
              <w:t>部中医药文化宣传片。</w:t>
            </w:r>
          </w:p>
          <w:p>
            <w:pPr>
              <w:widowControl w:val="0"/>
              <w:snapToGrid/>
              <w:ind w:firstLine="640" w:firstLineChars="200"/>
              <w:rPr>
                <w:rFonts w:cs="仿宋_GB2312"/>
                <w:szCs w:val="28"/>
              </w:rPr>
            </w:pPr>
            <w:r>
              <w:rPr>
                <w:rFonts w:hint="eastAsia" w:cs="仿宋_GB2312"/>
                <w:szCs w:val="28"/>
              </w:rPr>
              <w:t>推进中医药科技创新，建成高层次的中医药基础科研、检测评价、成果孵化或公共服务平台。培育高层次中医药科技创新团队。</w:t>
            </w:r>
            <w:r>
              <w:rPr>
                <w:rFonts w:cs="仿宋_GB2312"/>
                <w:szCs w:val="28"/>
              </w:rPr>
              <w:t>推进中药新药、中医药大健康产品、</w:t>
            </w:r>
            <w:r>
              <w:rPr>
                <w:rFonts w:hint="eastAsia" w:cs="仿宋_GB2312"/>
                <w:szCs w:val="28"/>
              </w:rPr>
              <w:t>关键技术装备</w:t>
            </w:r>
            <w:r>
              <w:rPr>
                <w:rFonts w:cs="仿宋_GB2312"/>
                <w:szCs w:val="28"/>
              </w:rPr>
              <w:t>的创新研发</w:t>
            </w:r>
            <w:r>
              <w:rPr>
                <w:rFonts w:hint="eastAsia" w:cs="仿宋_GB2312"/>
                <w:szCs w:val="28"/>
              </w:rPr>
              <w:t>，</w:t>
            </w:r>
            <w:r>
              <w:rPr>
                <w:rFonts w:cs="仿宋_GB2312"/>
                <w:szCs w:val="28"/>
              </w:rPr>
              <w:t>推广5</w:t>
            </w:r>
            <w:r>
              <w:rPr>
                <w:rFonts w:hint="eastAsia" w:cs="仿宋_GB2312"/>
                <w:szCs w:val="28"/>
              </w:rPr>
              <w:t>-1</w:t>
            </w:r>
            <w:r>
              <w:rPr>
                <w:rFonts w:cs="仿宋_GB2312"/>
                <w:szCs w:val="28"/>
              </w:rPr>
              <w:t>0</w:t>
            </w:r>
            <w:r>
              <w:rPr>
                <w:rFonts w:hint="eastAsia" w:cs="仿宋_GB2312"/>
                <w:szCs w:val="28"/>
              </w:rPr>
              <w:t>个大健康产品获批进入市场。</w:t>
            </w:r>
          </w:p>
          <w:p>
            <w:pPr>
              <w:widowControl w:val="0"/>
              <w:snapToGrid/>
              <w:ind w:firstLine="640" w:firstLineChars="200"/>
              <w:rPr>
                <w:rFonts w:cs="仿宋_GB2312"/>
                <w:snapToGrid w:val="0"/>
                <w:color w:val="000000"/>
                <w:sz w:val="28"/>
                <w:szCs w:val="28"/>
              </w:rPr>
            </w:pPr>
            <w:r>
              <w:rPr>
                <w:rFonts w:hint="eastAsia" w:cs="仿宋_GB2312"/>
                <w:szCs w:val="28"/>
              </w:rPr>
              <w:t>推动中医药开放发展，</w:t>
            </w:r>
            <w:r>
              <w:rPr>
                <w:rFonts w:hint="eastAsia" w:cs="仿宋_GB2312"/>
                <w:color w:val="000000"/>
                <w:szCs w:val="28"/>
              </w:rPr>
              <w:t>建设海外惠侨远程医疗站1-2个。</w:t>
            </w:r>
            <w:r>
              <w:rPr>
                <w:rFonts w:hint="eastAsia" w:cs="仿宋_GB2312"/>
                <w:szCs w:val="28"/>
              </w:rPr>
              <w:t>推进成渝地区双城经济圈及成德眉资同城化中医药一体化建设</w:t>
            </w:r>
            <w:r>
              <w:rPr>
                <w:rFonts w:cs="仿宋_GB2312"/>
                <w:szCs w:val="28"/>
              </w:rPr>
              <w:t>，</w:t>
            </w:r>
            <w:r>
              <w:rPr>
                <w:rFonts w:hint="eastAsia" w:cs="仿宋_GB2312"/>
                <w:szCs w:val="28"/>
              </w:rPr>
              <w:t>推进成渝地区双城经济圈中医药科技创新项目。推动“中医寻诊地图”覆盖成渝区域。</w:t>
            </w:r>
          </w:p>
        </w:tc>
      </w:tr>
      <w:bookmarkEnd w:id="43"/>
    </w:tbl>
    <w:p>
      <w:pPr>
        <w:jc w:val="center"/>
        <w:outlineLvl w:val="0"/>
        <w:rPr>
          <w:rFonts w:ascii="黑体" w:hAnsi="黑体" w:eastAsia="黑体"/>
        </w:rPr>
      </w:pPr>
      <w:bookmarkStart w:id="44" w:name="_Toc956_WPSOffice_Level1"/>
    </w:p>
    <w:p>
      <w:pPr>
        <w:jc w:val="center"/>
        <w:outlineLvl w:val="0"/>
        <w:rPr>
          <w:rFonts w:ascii="黑体" w:hAnsi="黑体" w:eastAsia="黑体"/>
        </w:rPr>
      </w:pPr>
      <w:r>
        <w:rPr>
          <w:rFonts w:hint="eastAsia" w:ascii="黑体" w:hAnsi="黑体" w:eastAsia="黑体"/>
        </w:rPr>
        <w:t>第</w:t>
      </w:r>
      <w:r>
        <w:rPr>
          <w:rFonts w:ascii="黑体" w:hAnsi="黑体" w:eastAsia="黑体"/>
        </w:rPr>
        <w:t>六</w:t>
      </w:r>
      <w:r>
        <w:rPr>
          <w:rFonts w:hint="eastAsia" w:ascii="黑体" w:hAnsi="黑体" w:eastAsia="黑体"/>
        </w:rPr>
        <w:t xml:space="preserve">章  </w:t>
      </w:r>
      <w:r>
        <w:rPr>
          <w:rFonts w:ascii="黑体" w:hAnsi="黑体" w:eastAsia="黑体"/>
        </w:rPr>
        <w:t>夯实中医药发展基础</w:t>
      </w:r>
      <w:bookmarkEnd w:id="44"/>
    </w:p>
    <w:p>
      <w:pPr>
        <w:widowControl w:val="0"/>
        <w:overflowPunct w:val="0"/>
        <w:snapToGrid/>
        <w:jc w:val="center"/>
        <w:outlineLvl w:val="1"/>
        <w:rPr>
          <w:rFonts w:ascii="楷体_GB2312" w:eastAsia="楷体_GB2312"/>
        </w:rPr>
      </w:pPr>
      <w:bookmarkStart w:id="45" w:name="_Toc12321_WPSOffice_Level2"/>
      <w:r>
        <w:rPr>
          <w:rFonts w:hint="eastAsia" w:ascii="楷体_GB2312" w:eastAsia="楷体_GB2312"/>
        </w:rPr>
        <w:t>第</w:t>
      </w:r>
      <w:r>
        <w:rPr>
          <w:rFonts w:ascii="楷体_GB2312" w:eastAsia="楷体_GB2312"/>
        </w:rPr>
        <w:t>一</w:t>
      </w:r>
      <w:r>
        <w:rPr>
          <w:rFonts w:hint="eastAsia" w:ascii="楷体_GB2312" w:eastAsia="楷体_GB2312"/>
        </w:rPr>
        <w:t>节  加强中医药人才队伍建设</w:t>
      </w:r>
      <w:bookmarkEnd w:id="45"/>
    </w:p>
    <w:p>
      <w:pPr>
        <w:widowControl w:val="0"/>
        <w:overflowPunct w:val="0"/>
        <w:snapToGrid/>
        <w:ind w:firstLine="640" w:firstLineChars="200"/>
      </w:pPr>
      <w:r>
        <w:rPr>
          <w:rFonts w:hint="eastAsia"/>
        </w:rPr>
        <w:t>着力培育中医药领军人才。积极引进中医药紧缺人才。鼓励积极争创中医药领域两院院士、国医大师、全国名中医、岐黄学者等顶尖人才申评。争创“天府峨眉计划”“天府青城计划”“中国西部（成都）科学城人力资源创新行动计划”创新团队。培养造就一批中医药理论基础深厚、临床经验丰富和专业技术水平高的中医药学科带头人和学科骨干人才，构建领军人才、骨干人才、优秀人才有机衔接的中医药高层次人才队伍。开展天府名中医传承工作室建设和成都市名中医评选。实施成都市“天府歧黄医者”培养计划。</w:t>
      </w:r>
    </w:p>
    <w:p>
      <w:pPr>
        <w:widowControl w:val="0"/>
        <w:overflowPunct w:val="0"/>
        <w:snapToGrid/>
        <w:ind w:firstLine="640" w:firstLineChars="200"/>
      </w:pPr>
      <w:r>
        <w:rPr>
          <w:rFonts w:hint="eastAsia"/>
        </w:rPr>
        <w:t>优化人才成长</w:t>
      </w:r>
      <w:r>
        <w:t>路径</w:t>
      </w:r>
      <w:r>
        <w:rPr>
          <w:rFonts w:hint="eastAsia"/>
        </w:rPr>
        <w:t>。深化中医、中药师承教育</w:t>
      </w:r>
      <w:r>
        <w:t>和优才管理</w:t>
      </w:r>
      <w:r>
        <w:rPr>
          <w:rFonts w:hint="eastAsia"/>
        </w:rPr>
        <w:t>，推进多层次的师承教育制度化、规范化、常态化，将师承教育贯穿临床实践教学全过程</w:t>
      </w:r>
      <w:r>
        <w:t>。</w:t>
      </w:r>
      <w:r>
        <w:rPr>
          <w:rFonts w:hint="eastAsia"/>
        </w:rPr>
        <w:t>推进名老中医药专家学术经验继承、优秀中医临床人才研修等项目。</w:t>
      </w:r>
      <w:r>
        <w:t>加强</w:t>
      </w:r>
      <w:r>
        <w:rPr>
          <w:rFonts w:hint="eastAsia"/>
        </w:rPr>
        <w:t>中医医师规范化培训</w:t>
      </w:r>
      <w:r>
        <w:t>，</w:t>
      </w:r>
      <w:r>
        <w:rPr>
          <w:rFonts w:hint="eastAsia"/>
        </w:rPr>
        <w:t>完善中医药继续教育制度，强化中医思维培养，发展“互联网+”继续教育，多途径提升中医药从业人员能力和技术水平。鼓励西医学习中医</w:t>
      </w:r>
      <w:r>
        <w:t>，鼓励综合医院申报省级以上中医药继续教育项目，临床、口腔、公共卫生类别医师每年接受</w:t>
      </w:r>
      <w:r>
        <w:rPr>
          <w:rFonts w:hint="eastAsia"/>
        </w:rPr>
        <w:t>必要的</w:t>
      </w:r>
      <w:r>
        <w:t>中医药继续教育。开展</w:t>
      </w:r>
      <w:r>
        <w:rPr>
          <w:rFonts w:hint="eastAsia"/>
        </w:rPr>
        <w:t>“西学中”培训</w:t>
      </w:r>
      <w:r>
        <w:t>项目</w:t>
      </w:r>
      <w:r>
        <w:rPr>
          <w:rFonts w:hint="eastAsia"/>
        </w:rPr>
        <w:t>，培养能够提供中西医结合服务的</w:t>
      </w:r>
      <w:r>
        <w:t>人才和</w:t>
      </w:r>
      <w:r>
        <w:rPr>
          <w:rFonts w:hint="eastAsia"/>
        </w:rPr>
        <w:t>全科医生</w:t>
      </w:r>
      <w:r>
        <w:t>。</w:t>
      </w:r>
      <w:r>
        <w:rPr>
          <w:rFonts w:hint="eastAsia"/>
        </w:rPr>
        <w:t>支持社会力量举办中医药职业培训和评价机构</w:t>
      </w:r>
      <w:r>
        <w:t>。</w:t>
      </w:r>
      <w:r>
        <w:rPr>
          <w:rFonts w:hint="eastAsia"/>
        </w:rPr>
        <w:t>推动中药企业加强中药技术传承</w:t>
      </w:r>
      <w:r>
        <w:t>，</w:t>
      </w:r>
      <w:r>
        <w:rPr>
          <w:rFonts w:hint="eastAsia"/>
        </w:rPr>
        <w:t>培养中药行业“技能工匠”。</w:t>
      </w:r>
    </w:p>
    <w:p>
      <w:pPr>
        <w:widowControl w:val="0"/>
        <w:overflowPunct w:val="0"/>
        <w:snapToGrid/>
        <w:ind w:firstLine="640" w:firstLineChars="200"/>
      </w:pPr>
      <w:r>
        <w:t>夯实</w:t>
      </w:r>
      <w:r>
        <w:rPr>
          <w:rFonts w:hint="eastAsia"/>
        </w:rPr>
        <w:t>基层中医药人才建设。</w:t>
      </w:r>
      <w:r>
        <w:t>适当放宽长期服务基层的</w:t>
      </w:r>
      <w:r>
        <w:rPr>
          <w:rFonts w:hint="eastAsia"/>
        </w:rPr>
        <w:t>中医药专业技术人才</w:t>
      </w:r>
      <w:r>
        <w:t>的职称评审条件，</w:t>
      </w:r>
      <w:r>
        <w:rPr>
          <w:rFonts w:hint="eastAsia"/>
        </w:rPr>
        <w:t>同等条件下优先评聘</w:t>
      </w:r>
      <w:r>
        <w:t>，各种表彰奖励评优向基层一线倾斜，引导中医药人才向基层流动。</w:t>
      </w:r>
      <w:r>
        <w:rPr>
          <w:rFonts w:hint="eastAsia"/>
        </w:rPr>
        <w:t>落实</w:t>
      </w:r>
      <w:r>
        <w:t>基层中医药人员</w:t>
      </w:r>
      <w:r>
        <w:rPr>
          <w:rFonts w:hint="eastAsia"/>
        </w:rPr>
        <w:t>待遇政策</w:t>
      </w:r>
      <w:r>
        <w:t>，稳定基层中医药队伍</w:t>
      </w:r>
      <w:r>
        <w:rPr>
          <w:rFonts w:hint="eastAsia"/>
        </w:rPr>
        <w:t>。</w:t>
      </w:r>
      <w:r>
        <w:t>通过中医类别全科医</w:t>
      </w:r>
      <w:r>
        <w:rPr>
          <w:rFonts w:hint="eastAsia"/>
        </w:rPr>
        <w:t>师</w:t>
      </w:r>
      <w:r>
        <w:t>转岗培训、农村订单定向医学生免费培养等途径，加强以中医类别全科医</w:t>
      </w:r>
      <w:r>
        <w:rPr>
          <w:rFonts w:hint="eastAsia"/>
        </w:rPr>
        <w:t>师</w:t>
      </w:r>
      <w:r>
        <w:t>为重点的基层中医药人才队伍建设，全面提升基层中医药人员理论基础和临床技能，规范和提高基层中医药服务水平和服务能力。开展基层中医药知识、适宜技术方法的</w:t>
      </w:r>
      <w:r>
        <w:rPr>
          <w:rFonts w:hint="eastAsia"/>
        </w:rPr>
        <w:t>专业培训</w:t>
      </w:r>
      <w:r>
        <w:t>与</w:t>
      </w:r>
      <w:r>
        <w:rPr>
          <w:rFonts w:hint="eastAsia"/>
        </w:rPr>
        <w:t>技能</w:t>
      </w:r>
      <w:r>
        <w:t>竞赛</w:t>
      </w:r>
      <w:r>
        <w:rPr>
          <w:rFonts w:hint="eastAsia"/>
        </w:rPr>
        <w:t>。</w:t>
      </w:r>
    </w:p>
    <w:p>
      <w:pPr>
        <w:widowControl w:val="0"/>
        <w:overflowPunct w:val="0"/>
        <w:snapToGrid/>
        <w:ind w:firstLine="640" w:firstLineChars="200"/>
      </w:pPr>
      <w:r>
        <w:t>完善人才评价激励机制。</w:t>
      </w:r>
      <w:r>
        <w:rPr>
          <w:rFonts w:hint="eastAsia"/>
        </w:rPr>
        <w:t>健全完善中医药人才激励机制，建立名中医评选机制和“名中医”逐级培养的长效机制。</w:t>
      </w:r>
      <w:r>
        <w:t>推进公立中医医院薪酬制度改革，建立健全符合中医行业特点的绩效考核和内部分配机制，进一步激发医疗卫生机构中医药人员创新创造活力。</w:t>
      </w:r>
      <w:r>
        <w:rPr>
          <w:rFonts w:hint="eastAsia"/>
        </w:rPr>
        <w:t>遵循中医药人才成长规律和行业特点，深化中医药职称制度改革，将中医理论、</w:t>
      </w:r>
      <w:r>
        <w:rPr>
          <w:rFonts w:hint="eastAsia"/>
          <w:lang w:eastAsia="zh-CN"/>
        </w:rPr>
        <w:t>辩</w:t>
      </w:r>
      <w:r>
        <w:rPr>
          <w:rFonts w:hint="eastAsia"/>
        </w:rPr>
        <w:t>证思维、医德医风、临床能力作为评价重点，对临床、教学、科研等方面中医药人才实行分类评价</w:t>
      </w:r>
      <w:r>
        <w:t>与激励。</w:t>
      </w:r>
    </w:p>
    <w:p>
      <w:pPr>
        <w:widowControl w:val="0"/>
        <w:overflowPunct w:val="0"/>
        <w:snapToGrid/>
        <w:jc w:val="center"/>
        <w:outlineLvl w:val="1"/>
        <w:rPr>
          <w:rFonts w:ascii="楷体_GB2312" w:eastAsia="楷体_GB2312"/>
        </w:rPr>
      </w:pPr>
      <w:bookmarkStart w:id="46" w:name="_Toc18489_WPSOffice_Level2"/>
      <w:bookmarkStart w:id="47" w:name="_Toc77241356"/>
      <w:r>
        <w:rPr>
          <w:rFonts w:hint="eastAsia" w:ascii="楷体_GB2312" w:eastAsia="楷体_GB2312"/>
        </w:rPr>
        <w:t>第</w:t>
      </w:r>
      <w:r>
        <w:rPr>
          <w:rFonts w:ascii="楷体_GB2312" w:eastAsia="楷体_GB2312"/>
        </w:rPr>
        <w:t>二</w:t>
      </w:r>
      <w:r>
        <w:rPr>
          <w:rFonts w:hint="eastAsia" w:ascii="楷体_GB2312" w:eastAsia="楷体_GB2312"/>
        </w:rPr>
        <w:t>节  推进中医药信息化建设</w:t>
      </w:r>
      <w:bookmarkEnd w:id="46"/>
      <w:bookmarkEnd w:id="47"/>
    </w:p>
    <w:p>
      <w:pPr>
        <w:widowControl w:val="0"/>
        <w:overflowPunct w:val="0"/>
        <w:snapToGrid/>
        <w:ind w:firstLine="640" w:firstLineChars="200"/>
      </w:pPr>
      <w:r>
        <w:rPr>
          <w:rFonts w:hint="eastAsia"/>
        </w:rPr>
        <w:t>夯实中医药信息化发展基础</w:t>
      </w:r>
      <w:r>
        <w:t>。</w:t>
      </w:r>
      <w:r>
        <w:rPr>
          <w:rFonts w:hint="eastAsia"/>
        </w:rPr>
        <w:t>加强中医医院智慧服务能力建设，提升中医医院电子病历应用功能水平等级，三级中医医疗机构信息互联互通标准化成熟度测评普遍达到四级水平。</w:t>
      </w:r>
      <w:r>
        <w:t>大力</w:t>
      </w:r>
      <w:r>
        <w:rPr>
          <w:rFonts w:hint="eastAsia"/>
        </w:rPr>
        <w:t>推进“一码就医”</w:t>
      </w:r>
      <w:r>
        <w:t>，</w:t>
      </w:r>
      <w:r>
        <w:rPr>
          <w:rFonts w:hint="eastAsia"/>
        </w:rPr>
        <w:t>完善便捷就医服务功能。非中医医院电子病历应增加中医模块，建立兼容中医电子病历、电子处方的基础数据库。优化市级“云中医馆”信息平台</w:t>
      </w:r>
      <w:r>
        <w:t>，着力提升基层中医药信息化能力，所有基层医疗卫生机构中医馆接入中医馆健康信息平台</w:t>
      </w:r>
      <w:r>
        <w:rPr>
          <w:rFonts w:hint="eastAsia"/>
        </w:rPr>
        <w:t>。加快推进中医药数据标准化、模块化，加强互联互通、数据共享，为中医医疗、</w:t>
      </w:r>
      <w:r>
        <w:t>教育</w:t>
      </w:r>
      <w:r>
        <w:rPr>
          <w:rFonts w:hint="eastAsia"/>
        </w:rPr>
        <w:t>、科研、管理</w:t>
      </w:r>
      <w:r>
        <w:t>等</w:t>
      </w:r>
      <w:r>
        <w:rPr>
          <w:rFonts w:hint="eastAsia"/>
        </w:rPr>
        <w:t>工作提供强有力的数据支撑。加强网络</w:t>
      </w:r>
      <w:r>
        <w:t>安</w:t>
      </w:r>
      <w:r>
        <w:rPr>
          <w:rFonts w:hint="eastAsia"/>
        </w:rPr>
        <w:t>全管理，提升中医药从业人员网络安全意识和技能。</w:t>
      </w:r>
    </w:p>
    <w:p>
      <w:pPr>
        <w:widowControl w:val="0"/>
        <w:overflowPunct w:val="0"/>
        <w:snapToGrid/>
        <w:ind w:firstLine="640" w:firstLineChars="200"/>
      </w:pPr>
      <w:r>
        <w:rPr>
          <w:rFonts w:hint="eastAsia"/>
        </w:rPr>
        <w:t>发展“互联网+”中医药服务。依托实体中医医疗机构发展互联网中医医院，推动互联网中医医院积极为老百姓在线提供健康咨询、远程会诊，开展常见病、慢性病复诊服务和“互联网+”家庭医生签约服务。加强5G通信技术应用，促进优质中医医疗资源下沉。到2</w:t>
      </w:r>
      <w:r>
        <w:t>025</w:t>
      </w:r>
      <w:r>
        <w:rPr>
          <w:rFonts w:hint="eastAsia"/>
        </w:rPr>
        <w:t>年，互联网中医医院数量</w:t>
      </w:r>
      <w:r>
        <w:t>力争</w:t>
      </w:r>
      <w:r>
        <w:rPr>
          <w:rFonts w:hint="eastAsia"/>
        </w:rPr>
        <w:t>达到实体中医医院数30%以上</w:t>
      </w:r>
      <w:r>
        <w:t>。</w:t>
      </w:r>
    </w:p>
    <w:p>
      <w:pPr>
        <w:widowControl w:val="0"/>
        <w:overflowPunct w:val="0"/>
        <w:snapToGrid/>
        <w:jc w:val="center"/>
        <w:outlineLvl w:val="1"/>
        <w:rPr>
          <w:rFonts w:ascii="楷体_GB2312" w:eastAsia="楷体_GB2312"/>
        </w:rPr>
      </w:pPr>
      <w:bookmarkStart w:id="48" w:name="_Toc15831_WPSOffice_Level2"/>
      <w:r>
        <w:rPr>
          <w:rFonts w:hint="eastAsia" w:ascii="楷体_GB2312" w:eastAsia="楷体_GB2312"/>
        </w:rPr>
        <w:t>第</w:t>
      </w:r>
      <w:r>
        <w:rPr>
          <w:rFonts w:ascii="楷体_GB2312" w:eastAsia="楷体_GB2312"/>
        </w:rPr>
        <w:t>三</w:t>
      </w:r>
      <w:r>
        <w:rPr>
          <w:rFonts w:hint="eastAsia" w:ascii="楷体_GB2312" w:eastAsia="楷体_GB2312"/>
        </w:rPr>
        <w:t>节  优化中医药发展</w:t>
      </w:r>
      <w:r>
        <w:rPr>
          <w:rFonts w:ascii="楷体_GB2312" w:eastAsia="楷体_GB2312"/>
        </w:rPr>
        <w:t>环境</w:t>
      </w:r>
      <w:bookmarkEnd w:id="48"/>
    </w:p>
    <w:p>
      <w:pPr>
        <w:widowControl w:val="0"/>
        <w:overflowPunct w:val="0"/>
        <w:snapToGrid/>
        <w:ind w:firstLine="640" w:firstLineChars="200"/>
      </w:pPr>
      <w:r>
        <w:t>加大医保支持力度。对中医类医疗机构按病组（种）分值付费考核指标予以倾斜。探索按中医疗效价值付费，实行中西医同病同效同价。加快落地中医医疗服务新增项目的定价和实施。支持中医医疗机构纳入医保定点。探索开展中医日间诊疗医保支付。</w:t>
      </w:r>
    </w:p>
    <w:p>
      <w:pPr>
        <w:widowControl w:val="0"/>
        <w:overflowPunct w:val="0"/>
        <w:snapToGrid/>
        <w:ind w:firstLine="640" w:firstLineChars="200"/>
      </w:pPr>
      <w:r>
        <w:rPr>
          <w:rFonts w:hint="eastAsia"/>
        </w:rPr>
        <w:t>优化中医药法</w:t>
      </w:r>
      <w:r>
        <w:t>治</w:t>
      </w:r>
      <w:r>
        <w:rPr>
          <w:rFonts w:hint="eastAsia"/>
        </w:rPr>
        <w:t>环境。严格执行《中华人民共和国中医药法》《四川省中医药条例》等法律法规。</w:t>
      </w:r>
      <w:r>
        <w:t>加强中医药法治宣传教育，增强中医药系统干部职工法治观念、法治意识和法治素养，营造中医药发展良好法治环境。</w:t>
      </w:r>
    </w:p>
    <w:p>
      <w:pPr>
        <w:widowControl w:val="0"/>
        <w:overflowPunct w:val="0"/>
        <w:snapToGrid/>
        <w:spacing w:after="156" w:afterLines="50"/>
        <w:ind w:firstLine="640" w:firstLineChars="200"/>
      </w:pPr>
      <w:r>
        <w:rPr>
          <w:rFonts w:hint="eastAsia"/>
        </w:rPr>
        <w:t>推进中医药综合监管。</w:t>
      </w:r>
      <w:r>
        <w:t>强化中医药监管体系建设，创新发展</w:t>
      </w:r>
      <w:r>
        <w:rPr>
          <w:rFonts w:hint="eastAsia"/>
        </w:rPr>
        <w:t>“互联网+”</w:t>
      </w:r>
      <w:r>
        <w:t>中医药监管，构建中医药行业机构自治、行业自律、政府监管、社会监督相结合的多元化综合监管新格局。各级卫生监督执法机构应当组建独立的中医药执法队伍并配备专职中医药执法人员。加大中医备案诊所监管力度，规范中医药服务秩序和服务行为。</w:t>
      </w:r>
    </w:p>
    <w:tbl>
      <w:tblPr>
        <w:tblStyle w:val="1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黑体" w:hAnsi="黑体" w:eastAsia="黑体"/>
                <w:spacing w:val="2"/>
                <w:kern w:val="10"/>
                <w:position w:val="2"/>
                <w:szCs w:val="32"/>
              </w:rPr>
            </w:pPr>
            <w:r>
              <w:rPr>
                <w:rFonts w:ascii="黑体" w:hAnsi="黑体" w:eastAsia="黑体" w:cs="仿宋_GB2312"/>
                <w:szCs w:val="32"/>
              </w:rPr>
              <w:br w:type="page"/>
            </w:r>
            <w:r>
              <w:rPr>
                <w:rFonts w:hint="eastAsia" w:ascii="黑体" w:hAnsi="黑体" w:eastAsia="黑体" w:cs="仿宋_GB2312"/>
                <w:bCs/>
                <w:szCs w:val="32"/>
              </w:rPr>
              <w:t>专栏</w:t>
            </w:r>
            <w:r>
              <w:rPr>
                <w:rFonts w:ascii="黑体" w:hAnsi="黑体" w:eastAsia="黑体" w:cs="仿宋_GB2312"/>
                <w:bCs/>
                <w:szCs w:val="32"/>
              </w:rPr>
              <w:t>5夯实中医药发展基础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640" w:firstLineChars="200"/>
              <w:rPr>
                <w:rFonts w:cs="仿宋_GB2312"/>
                <w:szCs w:val="28"/>
              </w:rPr>
            </w:pPr>
            <w:r>
              <w:rPr>
                <w:rFonts w:hint="eastAsia"/>
                <w:szCs w:val="28"/>
              </w:rPr>
              <w:t>加强中医药人才队伍建设，</w:t>
            </w:r>
            <w:r>
              <w:rPr>
                <w:szCs w:val="28"/>
              </w:rPr>
              <w:t>推动省针灸学校建设彭州校区</w:t>
            </w:r>
            <w:r>
              <w:rPr>
                <w:rFonts w:hint="eastAsia"/>
                <w:szCs w:val="28"/>
              </w:rPr>
              <w:t>，</w:t>
            </w:r>
            <w:r>
              <w:rPr>
                <w:rFonts w:hint="eastAsia" w:cs="仿宋_GB2312"/>
                <w:szCs w:val="28"/>
              </w:rPr>
              <w:t>实施“天府歧黄医者”培养计划，</w:t>
            </w:r>
            <w:r>
              <w:rPr>
                <w:rFonts w:cs="仿宋_GB2312"/>
                <w:szCs w:val="28"/>
              </w:rPr>
              <w:t>深化</w:t>
            </w:r>
            <w:r>
              <w:rPr>
                <w:rFonts w:hint="eastAsia" w:cs="仿宋_GB2312"/>
                <w:szCs w:val="28"/>
              </w:rPr>
              <w:t>天府名中医传承工作室建设</w:t>
            </w:r>
            <w:r>
              <w:rPr>
                <w:rFonts w:cs="仿宋_GB2312"/>
                <w:szCs w:val="28"/>
              </w:rPr>
              <w:t>。开展第五批成都市名中医评选。支持建设院士工作站、国医大师工作室。</w:t>
            </w:r>
            <w:r>
              <w:rPr>
                <w:rFonts w:hint="eastAsia"/>
                <w:szCs w:val="28"/>
              </w:rPr>
              <w:t>培养</w:t>
            </w:r>
            <w:r>
              <w:rPr>
                <w:szCs w:val="28"/>
              </w:rPr>
              <w:t>中青年骨干200名、名中医学术经验继承人200名、</w:t>
            </w:r>
            <w:r>
              <w:rPr>
                <w:rFonts w:hint="eastAsia"/>
                <w:szCs w:val="28"/>
              </w:rPr>
              <w:t>“西学中”人才100名、基层中医药人才10000名。</w:t>
            </w:r>
            <w:r>
              <w:rPr>
                <w:szCs w:val="28"/>
              </w:rPr>
              <w:t>加强中医药防疫、急诊急救、中药材种植加工、文化交流、康养等紧缺</w:t>
            </w:r>
            <w:r>
              <w:rPr>
                <w:rFonts w:ascii="仿宋_GB2312" w:cs="仿宋_GB2312"/>
                <w:szCs w:val="32"/>
                <w:lang w:bidi="ar"/>
              </w:rPr>
              <w:t>人才队伍建设。</w:t>
            </w:r>
          </w:p>
          <w:p>
            <w:pPr>
              <w:widowControl w:val="0"/>
              <w:snapToGrid/>
              <w:spacing w:line="540" w:lineRule="exact"/>
              <w:ind w:firstLine="640" w:firstLineChars="200"/>
              <w:rPr>
                <w:snapToGrid w:val="0"/>
                <w:sz w:val="28"/>
                <w:szCs w:val="28"/>
              </w:rPr>
            </w:pPr>
            <w:r>
              <w:rPr>
                <w:rFonts w:hint="eastAsia" w:cs="仿宋_GB2312"/>
                <w:szCs w:val="28"/>
              </w:rPr>
              <w:t>推进中医医院信息化建设，</w:t>
            </w:r>
            <w:r>
              <w:rPr>
                <w:szCs w:val="28"/>
              </w:rPr>
              <w:t>90%的县级中医医院电子病历达到四级水平，所有基层医疗卫生机构中医馆接入中医馆健康信息平台，实现县级中医医院牵头的医共体内信息互通和管理信息共享。开展</w:t>
            </w:r>
            <w:r>
              <w:rPr>
                <w:rFonts w:hint="eastAsia"/>
                <w:szCs w:val="28"/>
              </w:rPr>
              <w:t xml:space="preserve"> “互联网+”示范中医医院</w:t>
            </w:r>
            <w:r>
              <w:rPr>
                <w:szCs w:val="28"/>
              </w:rPr>
              <w:t>创建工作</w:t>
            </w:r>
            <w:r>
              <w:rPr>
                <w:rFonts w:hint="eastAsia"/>
                <w:szCs w:val="28"/>
              </w:rPr>
              <w:t>。</w:t>
            </w:r>
            <w:r>
              <w:rPr>
                <w:szCs w:val="28"/>
              </w:rPr>
              <w:t xml:space="preserve"> </w:t>
            </w:r>
          </w:p>
        </w:tc>
      </w:tr>
    </w:tbl>
    <w:p>
      <w:pPr>
        <w:widowControl w:val="0"/>
        <w:overflowPunct w:val="0"/>
        <w:jc w:val="center"/>
        <w:outlineLvl w:val="0"/>
        <w:rPr>
          <w:rFonts w:ascii="黑体" w:hAnsi="黑体" w:eastAsia="黑体"/>
        </w:rPr>
      </w:pPr>
      <w:bookmarkStart w:id="49" w:name="_Toc241_WPSOffice_Level1"/>
      <w:r>
        <w:rPr>
          <w:rFonts w:hint="eastAsia" w:ascii="黑体" w:hAnsi="黑体" w:eastAsia="黑体"/>
        </w:rPr>
        <w:t>第</w:t>
      </w:r>
      <w:r>
        <w:rPr>
          <w:rFonts w:ascii="黑体" w:hAnsi="黑体" w:eastAsia="黑体"/>
        </w:rPr>
        <w:t>七</w:t>
      </w:r>
      <w:r>
        <w:rPr>
          <w:rFonts w:hint="eastAsia" w:ascii="黑体" w:hAnsi="黑体" w:eastAsia="黑体"/>
        </w:rPr>
        <w:t>章  保障措施</w:t>
      </w:r>
      <w:bookmarkEnd w:id="49"/>
    </w:p>
    <w:p>
      <w:pPr>
        <w:widowControl w:val="0"/>
        <w:overflowPunct w:val="0"/>
        <w:snapToGrid/>
        <w:jc w:val="center"/>
        <w:outlineLvl w:val="1"/>
        <w:rPr>
          <w:rFonts w:ascii="楷体_GB2312" w:eastAsia="楷体_GB2312"/>
        </w:rPr>
      </w:pPr>
      <w:bookmarkStart w:id="50" w:name="_Toc17202_WPSOffice_Level2"/>
      <w:r>
        <w:rPr>
          <w:rFonts w:hint="eastAsia" w:ascii="楷体_GB2312" w:eastAsia="楷体_GB2312"/>
        </w:rPr>
        <w:t>第一节 加强领导，落实责任</w:t>
      </w:r>
      <w:bookmarkEnd w:id="50"/>
    </w:p>
    <w:p>
      <w:pPr>
        <w:widowControl w:val="0"/>
        <w:overflowPunct w:val="0"/>
        <w:snapToGrid/>
        <w:ind w:firstLine="640" w:firstLineChars="200"/>
      </w:pPr>
      <w:r>
        <w:rPr>
          <w:rFonts w:hint="eastAsia"/>
        </w:rPr>
        <w:t>加强全市中医药发展的组织领导，务实推进中医药传承创新发展</w:t>
      </w:r>
      <w:r>
        <w:t>。</w:t>
      </w:r>
      <w:r>
        <w:rPr>
          <w:rFonts w:hint="eastAsia"/>
        </w:rPr>
        <w:t>发挥成都市推进中医药传承创新发展专项工作组的职责，健全中医药工作跨部门协作机制，形成共同推进中医药传承创新发展的强大合力</w:t>
      </w:r>
      <w:r>
        <w:t>，</w:t>
      </w:r>
      <w:r>
        <w:rPr>
          <w:rFonts w:hint="eastAsia"/>
        </w:rPr>
        <w:t>指导、督促、检查中医药发展的各项工作，推动中医药事业、产业、文化协调发展。各区（市）县要明确相应工作机制，积极争创</w:t>
      </w:r>
      <w:r>
        <w:t>四川省中医药强县</w:t>
      </w:r>
      <w:r>
        <w:rPr>
          <w:rFonts w:hint="eastAsia"/>
        </w:rPr>
        <w:t>建设</w:t>
      </w:r>
      <w:r>
        <w:t>，</w:t>
      </w:r>
      <w:r>
        <w:rPr>
          <w:rFonts w:hint="eastAsia"/>
        </w:rPr>
        <w:t>在资源配置、政策机制、制度安排等方面向中医药倾斜</w:t>
      </w:r>
      <w:r>
        <w:t>。</w:t>
      </w:r>
    </w:p>
    <w:p>
      <w:pPr>
        <w:widowControl w:val="0"/>
        <w:overflowPunct w:val="0"/>
        <w:jc w:val="center"/>
        <w:outlineLvl w:val="1"/>
      </w:pPr>
      <w:bookmarkStart w:id="51" w:name="_Toc9687_WPSOffice_Level2"/>
      <w:r>
        <w:rPr>
          <w:rFonts w:hint="eastAsia"/>
        </w:rPr>
        <w:t>第二节 加大支持，完善政策</w:t>
      </w:r>
      <w:bookmarkEnd w:id="51"/>
    </w:p>
    <w:p>
      <w:pPr>
        <w:widowControl w:val="0"/>
        <w:overflowPunct w:val="0"/>
        <w:snapToGrid/>
        <w:ind w:firstLine="640" w:firstLineChars="200"/>
      </w:pPr>
      <w:bookmarkStart w:id="52" w:name="_Toc23910_WPSOffice_Level2"/>
      <w:r>
        <w:rPr>
          <w:rFonts w:hint="eastAsia"/>
        </w:rPr>
        <w:t>建立持续稳定的中医药发展多元投入机制</w:t>
      </w:r>
      <w:r>
        <w:t>，</w:t>
      </w:r>
      <w:r>
        <w:rPr>
          <w:rFonts w:hint="eastAsia"/>
        </w:rPr>
        <w:t>各级政府和部门要认真执行和落实有关扶持和发展中医药的政策措施</w:t>
      </w:r>
      <w:r>
        <w:t>，</w:t>
      </w:r>
      <w:r>
        <w:rPr>
          <w:rFonts w:hint="eastAsia"/>
        </w:rPr>
        <w:t>设立发展中医药专项资金，改善中医医院办院条件，统筹安排工业、农业、林草相关专项资金支持中医药产业发展。发挥政府主导作用和市场机制，引导社会资本参与，构建中医药发展多层次资本市场，落实相关税收优惠政策。支持符合条件的中医药企业上市融资，鼓励商业保险机构投资中医药服务产业。</w:t>
      </w:r>
    </w:p>
    <w:p>
      <w:pPr>
        <w:widowControl w:val="0"/>
        <w:overflowPunct w:val="0"/>
        <w:jc w:val="center"/>
        <w:outlineLvl w:val="1"/>
      </w:pPr>
      <w:r>
        <w:rPr>
          <w:rFonts w:hint="eastAsia"/>
        </w:rPr>
        <w:t>第三节 精心组织，强化监测</w:t>
      </w:r>
      <w:bookmarkEnd w:id="52"/>
    </w:p>
    <w:p>
      <w:pPr>
        <w:widowControl w:val="0"/>
        <w:overflowPunct w:val="0"/>
        <w:snapToGrid/>
        <w:ind w:firstLine="640" w:firstLineChars="200"/>
      </w:pPr>
      <w:r>
        <w:rPr>
          <w:rFonts w:hint="eastAsia"/>
        </w:rPr>
        <w:t>市级相关部门和各区（市）县要围绕本规划的工作目标、重点任务，结合当地实际，制定切实可行的</w:t>
      </w:r>
      <w:r>
        <w:t>实施</w:t>
      </w:r>
      <w:r>
        <w:rPr>
          <w:rFonts w:hint="eastAsia"/>
        </w:rPr>
        <w:t>方案，精心组织，认真</w:t>
      </w:r>
      <w:r>
        <w:t>落实</w:t>
      </w:r>
      <w:r>
        <w:rPr>
          <w:rFonts w:hint="eastAsia"/>
        </w:rPr>
        <w:t>。制定规划监测评估方案，完善绩效评价考核机制，对规划实施进度和效果进行年度监测和中期、末期评估，监督重大项目执行情况，及时发现并推动解决实施中存在的问题，促进规划的各项目标顺利实现。</w:t>
      </w:r>
    </w:p>
    <w:p>
      <w:pPr>
        <w:widowControl w:val="0"/>
        <w:overflowPunct w:val="0"/>
        <w:snapToGrid/>
        <w:jc w:val="center"/>
        <w:outlineLvl w:val="1"/>
        <w:rPr>
          <w:rFonts w:ascii="楷体_GB2312" w:eastAsia="楷体_GB2312"/>
        </w:rPr>
      </w:pPr>
      <w:bookmarkStart w:id="53" w:name="_Toc18866_WPSOffice_Level2"/>
      <w:r>
        <w:rPr>
          <w:rFonts w:hint="eastAsia" w:ascii="楷体_GB2312" w:eastAsia="楷体_GB2312"/>
        </w:rPr>
        <w:t>第四节 注重宣传，营造氛围</w:t>
      </w:r>
      <w:bookmarkEnd w:id="53"/>
    </w:p>
    <w:p>
      <w:pPr>
        <w:widowControl w:val="0"/>
        <w:overflowPunct w:val="0"/>
        <w:snapToGrid/>
        <w:ind w:firstLine="640" w:firstLineChars="200"/>
        <w:rPr>
          <w:rFonts w:ascii="仿宋_GB2312" w:hAnsi="仿宋_GB2312" w:cs="仿宋_GB2312"/>
          <w:szCs w:val="32"/>
        </w:rPr>
        <w:sectPr>
          <w:headerReference r:id="rId5" w:type="default"/>
          <w:footerReference r:id="rId6" w:type="even"/>
          <w:pgSz w:w="11906" w:h="16838"/>
          <w:pgMar w:top="1440" w:right="1800" w:bottom="1440" w:left="1800" w:header="851" w:footer="992" w:gutter="0"/>
          <w:cols w:space="425" w:num="1"/>
          <w:docGrid w:type="lines" w:linePitch="312" w:charSpace="0"/>
        </w:sectPr>
      </w:pPr>
      <w:r>
        <w:rPr>
          <w:rFonts w:hint="eastAsia"/>
        </w:rPr>
        <w:t>市级相关部门和各区（市）县要高度重视本规划的宣传工作，及时报道新时代中医药创新举措、典型经验，大力宣传中医药先进典型和感人事迹，增强成都中医药影响力，弘扬中医药文化，营造良好的社会氛围和舆论环境</w:t>
      </w:r>
      <w:r>
        <w:t>。</w:t>
      </w:r>
      <w:bookmarkEnd w:id="11"/>
    </w:p>
    <w:p>
      <w:pPr>
        <w:widowControl w:val="0"/>
        <w:overflowPunct w:val="0"/>
        <w:snapToGrid/>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文泉驿正黑">
    <w:panose1 w:val="02000603000000000000"/>
    <w:charset w:val="86"/>
    <w:family w:val="auto"/>
    <w:pitch w:val="default"/>
    <w:sig w:usb0="900002BF" w:usb1="2BDF7DFB" w:usb2="00000036" w:usb3="00000000" w:csb0="603E000D" w:csb1="D2D7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5</w:t>
    </w:r>
    <w:r>
      <w:rPr>
        <w:rStyle w:val="18"/>
      </w:rPr>
      <w:fldChar w:fldCharType="end"/>
    </w:r>
  </w:p>
  <w:p>
    <w:pPr>
      <w:pStyle w:val="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hjODYxYzE3MGVlODU4YTNhOTIxNmE3ODFhYTJiNjEifQ=="/>
  </w:docVars>
  <w:rsids>
    <w:rsidRoot w:val="00952A7E"/>
    <w:rsid w:val="00091E54"/>
    <w:rsid w:val="0010610F"/>
    <w:rsid w:val="00142B70"/>
    <w:rsid w:val="001822F0"/>
    <w:rsid w:val="00437981"/>
    <w:rsid w:val="00494894"/>
    <w:rsid w:val="004D075F"/>
    <w:rsid w:val="004D7C5D"/>
    <w:rsid w:val="006448D8"/>
    <w:rsid w:val="00744508"/>
    <w:rsid w:val="0078119D"/>
    <w:rsid w:val="00782513"/>
    <w:rsid w:val="00784C25"/>
    <w:rsid w:val="00892D07"/>
    <w:rsid w:val="00951B1E"/>
    <w:rsid w:val="00952A7E"/>
    <w:rsid w:val="0099565E"/>
    <w:rsid w:val="00AB56B6"/>
    <w:rsid w:val="00C858B9"/>
    <w:rsid w:val="00CA0260"/>
    <w:rsid w:val="00F31009"/>
    <w:rsid w:val="00F719FD"/>
    <w:rsid w:val="0A1A61CF"/>
    <w:rsid w:val="CFFF8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spacing w:line="579" w:lineRule="exact"/>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23"/>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38"/>
    <w:semiHidden/>
    <w:unhideWhenUsed/>
    <w:qFormat/>
    <w:uiPriority w:val="9"/>
    <w:pPr>
      <w:keepNext/>
      <w:keepLines/>
      <w:spacing w:before="260" w:after="260" w:line="413" w:lineRule="auto"/>
      <w:outlineLvl w:val="1"/>
    </w:pPr>
    <w:rPr>
      <w:rFonts w:ascii="Arial" w:hAnsi="Arial" w:eastAsia="黑体"/>
      <w:b/>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qFormat/>
    <w:uiPriority w:val="0"/>
    <w:pPr>
      <w:ind w:left="2940"/>
    </w:pPr>
  </w:style>
  <w:style w:type="paragraph" w:styleId="5">
    <w:name w:val="Normal Indent"/>
    <w:basedOn w:val="1"/>
    <w:qFormat/>
    <w:uiPriority w:val="99"/>
    <w:pPr>
      <w:ind w:firstLine="420" w:firstLineChars="200"/>
    </w:pPr>
  </w:style>
  <w:style w:type="paragraph" w:styleId="6">
    <w:name w:val="Body Text"/>
    <w:basedOn w:val="1"/>
    <w:next w:val="4"/>
    <w:link w:val="37"/>
    <w:unhideWhenUsed/>
    <w:qFormat/>
    <w:uiPriority w:val="99"/>
    <w:pPr>
      <w:spacing w:after="120"/>
    </w:pPr>
  </w:style>
  <w:style w:type="paragraph" w:styleId="7">
    <w:name w:val="toc 3"/>
    <w:basedOn w:val="1"/>
    <w:next w:val="1"/>
    <w:unhideWhenUsed/>
    <w:qFormat/>
    <w:uiPriority w:val="39"/>
    <w:pPr>
      <w:snapToGrid/>
      <w:spacing w:after="100" w:line="259" w:lineRule="auto"/>
      <w:ind w:left="440"/>
      <w:jc w:val="left"/>
    </w:pPr>
    <w:rPr>
      <w:rFonts w:asciiTheme="minorHAnsi" w:hAnsiTheme="minorHAnsi" w:eastAsiaTheme="minorEastAsia"/>
      <w:kern w:val="0"/>
      <w:sz w:val="22"/>
    </w:rPr>
  </w:style>
  <w:style w:type="paragraph" w:styleId="8">
    <w:name w:val="Balloon Text"/>
    <w:basedOn w:val="1"/>
    <w:link w:val="26"/>
    <w:semiHidden/>
    <w:unhideWhenUsed/>
    <w:qFormat/>
    <w:uiPriority w:val="99"/>
    <w:pPr>
      <w:spacing w:line="240" w:lineRule="auto"/>
    </w:pPr>
    <w:rPr>
      <w:sz w:val="18"/>
      <w:szCs w:val="18"/>
    </w:rPr>
  </w:style>
  <w:style w:type="paragraph" w:styleId="9">
    <w:name w:val="footer"/>
    <w:basedOn w:val="1"/>
    <w:link w:val="22"/>
    <w:unhideWhenUsed/>
    <w:qFormat/>
    <w:uiPriority w:val="99"/>
    <w:pPr>
      <w:widowControl w:val="0"/>
      <w:tabs>
        <w:tab w:val="center" w:pos="4153"/>
        <w:tab w:val="right" w:pos="8306"/>
      </w:tabs>
      <w:spacing w:line="240" w:lineRule="auto"/>
      <w:jc w:val="left"/>
    </w:pPr>
    <w:rPr>
      <w:rFonts w:asciiTheme="minorHAnsi" w:hAnsiTheme="minorHAnsi" w:eastAsiaTheme="minorEastAsia" w:cstheme="minorBidi"/>
      <w:sz w:val="18"/>
      <w:szCs w:val="18"/>
    </w:rPr>
  </w:style>
  <w:style w:type="paragraph" w:styleId="10">
    <w:name w:val="header"/>
    <w:basedOn w:val="1"/>
    <w:link w:val="21"/>
    <w:unhideWhenUsed/>
    <w:qFormat/>
    <w:uiPriority w:val="99"/>
    <w:pPr>
      <w:widowControl w:val="0"/>
      <w:pBdr>
        <w:bottom w:val="single" w:color="auto" w:sz="6" w:space="1"/>
      </w:pBdr>
      <w:tabs>
        <w:tab w:val="center" w:pos="4153"/>
        <w:tab w:val="right" w:pos="8306"/>
      </w:tabs>
      <w:spacing w:line="240" w:lineRule="auto"/>
      <w:jc w:val="center"/>
    </w:pPr>
    <w:rPr>
      <w:rFonts w:asciiTheme="minorHAnsi" w:hAnsiTheme="minorHAnsi" w:eastAsiaTheme="minorEastAsia" w:cstheme="minorBidi"/>
      <w:sz w:val="18"/>
      <w:szCs w:val="18"/>
    </w:rPr>
  </w:style>
  <w:style w:type="paragraph" w:styleId="11">
    <w:name w:val="toc 1"/>
    <w:basedOn w:val="1"/>
    <w:next w:val="1"/>
    <w:unhideWhenUsed/>
    <w:qFormat/>
    <w:uiPriority w:val="39"/>
    <w:pPr>
      <w:tabs>
        <w:tab w:val="right" w:leader="dot" w:pos="8296"/>
      </w:tabs>
      <w:snapToGrid/>
      <w:spacing w:line="500" w:lineRule="exact"/>
      <w:jc w:val="left"/>
    </w:pPr>
    <w:rPr>
      <w:rFonts w:ascii="黑体" w:hAnsi="黑体" w:eastAsia="黑体"/>
      <w:kern w:val="0"/>
      <w:szCs w:val="32"/>
    </w:rPr>
  </w:style>
  <w:style w:type="paragraph" w:styleId="12">
    <w:name w:val="toc 2"/>
    <w:basedOn w:val="1"/>
    <w:next w:val="1"/>
    <w:unhideWhenUsed/>
    <w:qFormat/>
    <w:uiPriority w:val="39"/>
    <w:pPr>
      <w:snapToGrid/>
      <w:spacing w:after="100" w:line="259" w:lineRule="auto"/>
      <w:ind w:left="220"/>
      <w:jc w:val="left"/>
    </w:pPr>
    <w:rPr>
      <w:rFonts w:asciiTheme="minorHAnsi" w:hAnsiTheme="minorHAnsi" w:eastAsiaTheme="minorEastAsia"/>
      <w:kern w:val="0"/>
      <w:sz w:val="22"/>
    </w:rPr>
  </w:style>
  <w:style w:type="paragraph" w:styleId="13">
    <w:name w:val="Normal (Web)"/>
    <w:basedOn w:val="1"/>
    <w:qFormat/>
    <w:uiPriority w:val="99"/>
    <w:pPr>
      <w:widowControl w:val="0"/>
      <w:snapToGrid/>
      <w:spacing w:beforeAutospacing="1" w:afterAutospacing="1" w:line="240" w:lineRule="auto"/>
      <w:jc w:val="left"/>
    </w:pPr>
    <w:rPr>
      <w:rFonts w:asciiTheme="minorHAnsi" w:hAnsiTheme="minorHAnsi" w:eastAsiaTheme="minorEastAsia"/>
      <w:kern w:val="0"/>
      <w:sz w:val="24"/>
      <w:szCs w:val="24"/>
    </w:rPr>
  </w:style>
  <w:style w:type="paragraph" w:styleId="14">
    <w:name w:val="Title"/>
    <w:basedOn w:val="1"/>
    <w:next w:val="1"/>
    <w:link w:val="27"/>
    <w:qFormat/>
    <w:uiPriority w:val="0"/>
    <w:pPr>
      <w:widowControl w:val="0"/>
      <w:snapToGrid/>
      <w:spacing w:before="240" w:after="60" w:line="240" w:lineRule="auto"/>
      <w:jc w:val="center"/>
      <w:outlineLvl w:val="0"/>
    </w:pPr>
    <w:rPr>
      <w:rFonts w:eastAsia="宋体" w:asciiTheme="majorHAnsi" w:hAnsiTheme="majorHAnsi" w:cstheme="majorBidi"/>
      <w:b/>
      <w:bCs/>
      <w:szCs w:val="32"/>
    </w:rPr>
  </w:style>
  <w:style w:type="character" w:styleId="17">
    <w:name w:val="Strong"/>
    <w:basedOn w:val="16"/>
    <w:qFormat/>
    <w:uiPriority w:val="22"/>
    <w:rPr>
      <w:b/>
    </w:rPr>
  </w:style>
  <w:style w:type="character" w:styleId="18">
    <w:name w:val="page number"/>
    <w:basedOn w:val="16"/>
    <w:semiHidden/>
    <w:unhideWhenUsed/>
    <w:qFormat/>
    <w:uiPriority w:val="99"/>
  </w:style>
  <w:style w:type="character" w:styleId="19">
    <w:name w:val="Emphasis"/>
    <w:basedOn w:val="16"/>
    <w:qFormat/>
    <w:uiPriority w:val="20"/>
    <w:rPr>
      <w:i/>
    </w:rPr>
  </w:style>
  <w:style w:type="character" w:styleId="20">
    <w:name w:val="Hyperlink"/>
    <w:basedOn w:val="16"/>
    <w:unhideWhenUsed/>
    <w:qFormat/>
    <w:uiPriority w:val="99"/>
    <w:rPr>
      <w:color w:val="0000FF" w:themeColor="hyperlink"/>
      <w:u w:val="single"/>
    </w:rPr>
  </w:style>
  <w:style w:type="character" w:customStyle="1" w:styleId="21">
    <w:name w:val="页眉 Char"/>
    <w:basedOn w:val="16"/>
    <w:link w:val="10"/>
    <w:qFormat/>
    <w:uiPriority w:val="99"/>
    <w:rPr>
      <w:sz w:val="18"/>
      <w:szCs w:val="18"/>
    </w:rPr>
  </w:style>
  <w:style w:type="character" w:customStyle="1" w:styleId="22">
    <w:name w:val="页脚 Char"/>
    <w:basedOn w:val="16"/>
    <w:link w:val="9"/>
    <w:qFormat/>
    <w:uiPriority w:val="99"/>
    <w:rPr>
      <w:sz w:val="18"/>
      <w:szCs w:val="18"/>
    </w:rPr>
  </w:style>
  <w:style w:type="character" w:customStyle="1" w:styleId="23">
    <w:name w:val="标题 1 Char"/>
    <w:basedOn w:val="16"/>
    <w:link w:val="2"/>
    <w:qFormat/>
    <w:uiPriority w:val="9"/>
    <w:rPr>
      <w:rFonts w:ascii="Times New Roman" w:hAnsi="Times New Roman" w:eastAsia="仿宋_GB2312" w:cs="Times New Roman"/>
      <w:b/>
      <w:bCs/>
      <w:kern w:val="44"/>
      <w:sz w:val="44"/>
      <w:szCs w:val="44"/>
    </w:rPr>
  </w:style>
  <w:style w:type="character" w:customStyle="1" w:styleId="24">
    <w:name w:val="标题 2 Char"/>
    <w:basedOn w:val="16"/>
    <w:qFormat/>
    <w:uiPriority w:val="0"/>
    <w:rPr>
      <w:rFonts w:asciiTheme="majorHAnsi" w:hAnsiTheme="majorHAnsi" w:eastAsiaTheme="majorEastAsia" w:cstheme="majorBidi"/>
      <w:b/>
      <w:bCs/>
      <w:sz w:val="32"/>
      <w:szCs w:val="32"/>
    </w:rPr>
  </w:style>
  <w:style w:type="character" w:customStyle="1" w:styleId="25">
    <w:name w:val="正文文本 Char"/>
    <w:basedOn w:val="16"/>
    <w:qFormat/>
    <w:uiPriority w:val="0"/>
    <w:rPr>
      <w:rFonts w:ascii="Times New Roman" w:hAnsi="Times New Roman" w:eastAsia="仿宋_GB2312" w:cs="Times New Roman"/>
      <w:sz w:val="32"/>
    </w:rPr>
  </w:style>
  <w:style w:type="character" w:customStyle="1" w:styleId="26">
    <w:name w:val="批注框文本 Char"/>
    <w:basedOn w:val="16"/>
    <w:link w:val="8"/>
    <w:semiHidden/>
    <w:qFormat/>
    <w:uiPriority w:val="99"/>
    <w:rPr>
      <w:rFonts w:ascii="Times New Roman" w:hAnsi="Times New Roman" w:eastAsia="仿宋_GB2312" w:cs="Times New Roman"/>
      <w:sz w:val="18"/>
      <w:szCs w:val="18"/>
    </w:rPr>
  </w:style>
  <w:style w:type="character" w:customStyle="1" w:styleId="27">
    <w:name w:val="标题 Char"/>
    <w:basedOn w:val="16"/>
    <w:link w:val="14"/>
    <w:qFormat/>
    <w:uiPriority w:val="0"/>
    <w:rPr>
      <w:rFonts w:eastAsia="宋体" w:asciiTheme="majorHAnsi" w:hAnsiTheme="majorHAnsi" w:cstheme="majorBidi"/>
      <w:b/>
      <w:bCs/>
      <w:sz w:val="32"/>
      <w:szCs w:val="32"/>
    </w:rPr>
  </w:style>
  <w:style w:type="paragraph" w:customStyle="1" w:styleId="28">
    <w:name w:val="2级标题"/>
    <w:basedOn w:val="1"/>
    <w:link w:val="29"/>
    <w:qFormat/>
    <w:uiPriority w:val="0"/>
    <w:pPr>
      <w:widowControl w:val="0"/>
      <w:snapToGrid/>
      <w:spacing w:line="240" w:lineRule="auto"/>
      <w:outlineLvl w:val="1"/>
    </w:pPr>
    <w:rPr>
      <w:rFonts w:eastAsia="楷体" w:asciiTheme="minorHAnsi" w:hAnsiTheme="minorHAnsi" w:cstheme="minorBidi"/>
      <w:sz w:val="21"/>
      <w:szCs w:val="24"/>
    </w:rPr>
  </w:style>
  <w:style w:type="character" w:customStyle="1" w:styleId="29">
    <w:name w:val="2级标题 Char"/>
    <w:basedOn w:val="16"/>
    <w:link w:val="28"/>
    <w:qFormat/>
    <w:uiPriority w:val="0"/>
    <w:rPr>
      <w:rFonts w:eastAsia="楷体"/>
      <w:szCs w:val="24"/>
    </w:rPr>
  </w:style>
  <w:style w:type="paragraph" w:customStyle="1" w:styleId="30">
    <w:name w:val="TOC 标题1"/>
    <w:basedOn w:val="2"/>
    <w:next w:val="1"/>
    <w:unhideWhenUsed/>
    <w:qFormat/>
    <w:uiPriority w:val="39"/>
    <w:pPr>
      <w:snapToGrid/>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styleId="31">
    <w:name w:val="List Paragraph"/>
    <w:basedOn w:val="1"/>
    <w:qFormat/>
    <w:uiPriority w:val="99"/>
    <w:pPr>
      <w:ind w:firstLine="420" w:firstLineChars="200"/>
    </w:pPr>
  </w:style>
  <w:style w:type="character" w:customStyle="1" w:styleId="32">
    <w:name w:val="10"/>
    <w:basedOn w:val="16"/>
    <w:qFormat/>
    <w:uiPriority w:val="0"/>
    <w:rPr>
      <w:rFonts w:hint="default" w:ascii="Calibri" w:hAnsi="Calibri" w:cs="Calibri"/>
    </w:rPr>
  </w:style>
  <w:style w:type="character" w:customStyle="1" w:styleId="33">
    <w:name w:val="15"/>
    <w:basedOn w:val="16"/>
    <w:qFormat/>
    <w:uiPriority w:val="0"/>
    <w:rPr>
      <w:rFonts w:hint="default" w:ascii="Calibri" w:hAnsi="Calibri" w:cs="Calibri"/>
    </w:rPr>
  </w:style>
  <w:style w:type="paragraph" w:customStyle="1" w:styleId="34">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35">
    <w:name w:val="WPSOffice手动目录 2"/>
    <w:qFormat/>
    <w:uiPriority w:val="0"/>
    <w:pPr>
      <w:ind w:left="200" w:leftChars="200"/>
    </w:pPr>
    <w:rPr>
      <w:rFonts w:ascii="Times New Roman" w:hAnsi="Times New Roman" w:eastAsia="宋体" w:cs="Times New Roman"/>
      <w:kern w:val="0"/>
      <w:sz w:val="20"/>
      <w:szCs w:val="20"/>
      <w:lang w:val="en-US" w:eastAsia="zh-CN" w:bidi="ar-SA"/>
    </w:rPr>
  </w:style>
  <w:style w:type="paragraph" w:customStyle="1" w:styleId="36">
    <w:name w:val="TOC 标题2"/>
    <w:basedOn w:val="2"/>
    <w:next w:val="1"/>
    <w:unhideWhenUsed/>
    <w:qFormat/>
    <w:uiPriority w:val="39"/>
    <w:pPr>
      <w:snapToGrid/>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37">
    <w:name w:val="正文文本 Char1"/>
    <w:basedOn w:val="16"/>
    <w:link w:val="6"/>
    <w:qFormat/>
    <w:uiPriority w:val="99"/>
    <w:rPr>
      <w:rFonts w:ascii="Times New Roman" w:hAnsi="Times New Roman" w:eastAsia="仿宋_GB2312" w:cs="Times New Roman"/>
      <w:sz w:val="32"/>
    </w:rPr>
  </w:style>
  <w:style w:type="character" w:customStyle="1" w:styleId="38">
    <w:name w:val="标题 2 Char1"/>
    <w:basedOn w:val="16"/>
    <w:link w:val="3"/>
    <w:semiHidden/>
    <w:qFormat/>
    <w:uiPriority w:val="9"/>
    <w:rPr>
      <w:rFonts w:ascii="Arial" w:hAnsi="Arial" w:eastAsia="黑体" w:cs="Times New Roman"/>
      <w:b/>
      <w:sz w:val="32"/>
    </w:rPr>
  </w:style>
  <w:style w:type="character" w:customStyle="1" w:styleId="39">
    <w:name w:val="16"/>
    <w:basedOn w:val="16"/>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C94BF19E4F745CC81654E7834660095"/>
        <w:style w:val=""/>
        <w:category>
          <w:name w:val="常规"/>
          <w:gallery w:val="placeholder"/>
        </w:category>
        <w:types>
          <w:type w:val="bbPlcHdr"/>
        </w:types>
        <w:behaviors>
          <w:behavior w:val="content"/>
        </w:behaviors>
        <w:description w:val=""/>
        <w:guid w:val="{1220A02A-318A-41F1-96C7-23D986B5F247}"/>
      </w:docPartPr>
      <w:docPartBody>
        <w:p>
          <w:pPr>
            <w:pStyle w:val="21"/>
          </w:pPr>
          <w:r>
            <w:rPr>
              <w:color w:val="808080"/>
            </w:rPr>
            <w:t>单击此处输入文字。</w:t>
          </w:r>
        </w:p>
      </w:docPartBody>
    </w:docPart>
    <w:docPart>
      <w:docPartPr>
        <w:name w:val="41D7552B928F45B987154D70A6D5815D"/>
        <w:style w:val=""/>
        <w:category>
          <w:name w:val="常规"/>
          <w:gallery w:val="placeholder"/>
        </w:category>
        <w:types>
          <w:type w:val="bbPlcHdr"/>
        </w:types>
        <w:behaviors>
          <w:behavior w:val="content"/>
        </w:behaviors>
        <w:description w:val=""/>
        <w:guid w:val="{94F1E0E9-2C5E-496F-BEFE-1638D80D3B87}"/>
      </w:docPartPr>
      <w:docPartBody>
        <w:p>
          <w:pPr>
            <w:pStyle w:val="22"/>
          </w:pPr>
          <w:r>
            <w:rPr>
              <w:color w:val="808080"/>
            </w:rPr>
            <w:t>单击此处输入文字。</w:t>
          </w:r>
        </w:p>
      </w:docPartBody>
    </w:docPart>
    <w:docPart>
      <w:docPartPr>
        <w:name w:val="9AA83756C6D844FCAB63DE5EB3539A1D"/>
        <w:style w:val=""/>
        <w:category>
          <w:name w:val="常规"/>
          <w:gallery w:val="placeholder"/>
        </w:category>
        <w:types>
          <w:type w:val="bbPlcHdr"/>
        </w:types>
        <w:behaviors>
          <w:behavior w:val="content"/>
        </w:behaviors>
        <w:description w:val=""/>
        <w:guid w:val="{5206405C-2089-43A0-B5A8-FBE00FBCAF40}"/>
      </w:docPartPr>
      <w:docPartBody>
        <w:p>
          <w:pPr>
            <w:pStyle w:val="23"/>
          </w:pPr>
          <w:r>
            <w:rPr>
              <w:color w:val="808080"/>
            </w:rPr>
            <w:t>单击此处输入文字。</w:t>
          </w:r>
        </w:p>
      </w:docPartBody>
    </w:docPart>
    <w:docPart>
      <w:docPartPr>
        <w:name w:val="F729F1FC793E4157945D456E749A230F"/>
        <w:style w:val=""/>
        <w:category>
          <w:name w:val="常规"/>
          <w:gallery w:val="placeholder"/>
        </w:category>
        <w:types>
          <w:type w:val="bbPlcHdr"/>
        </w:types>
        <w:behaviors>
          <w:behavior w:val="content"/>
        </w:behaviors>
        <w:description w:val=""/>
        <w:guid w:val="{7B2F8F30-06C3-4A4C-9B25-BCFC51D551E3}"/>
      </w:docPartPr>
      <w:docPartBody>
        <w:p>
          <w:pPr>
            <w:pStyle w:val="24"/>
          </w:pPr>
          <w:r>
            <w:rPr>
              <w:color w:val="808080"/>
            </w:rPr>
            <w:t>单击此处输入文字。</w:t>
          </w:r>
        </w:p>
      </w:docPartBody>
    </w:docPart>
    <w:docPart>
      <w:docPartPr>
        <w:name w:val="228B469BF9BB47A2B73CD5D5F02E40E0"/>
        <w:style w:val=""/>
        <w:category>
          <w:name w:val="常规"/>
          <w:gallery w:val="placeholder"/>
        </w:category>
        <w:types>
          <w:type w:val="bbPlcHdr"/>
        </w:types>
        <w:behaviors>
          <w:behavior w:val="content"/>
        </w:behaviors>
        <w:description w:val=""/>
        <w:guid w:val="{E484F533-7946-46E7-8C14-E9629D8092CA}"/>
      </w:docPartPr>
      <w:docPartBody>
        <w:p>
          <w:pPr>
            <w:pStyle w:val="25"/>
          </w:pPr>
          <w:r>
            <w:rPr>
              <w:color w:val="808080"/>
            </w:rPr>
            <w:t>单击此处输入文字。</w:t>
          </w:r>
        </w:p>
      </w:docPartBody>
    </w:docPart>
    <w:docPart>
      <w:docPartPr>
        <w:name w:val="F2172A7220854630BD0AC6EA9497FB76"/>
        <w:style w:val=""/>
        <w:category>
          <w:name w:val="常规"/>
          <w:gallery w:val="placeholder"/>
        </w:category>
        <w:types>
          <w:type w:val="bbPlcHdr"/>
        </w:types>
        <w:behaviors>
          <w:behavior w:val="content"/>
        </w:behaviors>
        <w:description w:val=""/>
        <w:guid w:val="{EB6D9074-73B8-41B7-9377-DCC98C4B7ED2}"/>
      </w:docPartPr>
      <w:docPartBody>
        <w:p>
          <w:pPr>
            <w:pStyle w:val="26"/>
          </w:pPr>
          <w:r>
            <w:rPr>
              <w:color w:val="808080"/>
            </w:rPr>
            <w:t>单击此处输入文字。</w:t>
          </w:r>
        </w:p>
      </w:docPartBody>
    </w:docPart>
    <w:docPart>
      <w:docPartPr>
        <w:name w:val="78FA242954A147C98D4301FAECFC22B4"/>
        <w:style w:val=""/>
        <w:category>
          <w:name w:val="常规"/>
          <w:gallery w:val="placeholder"/>
        </w:category>
        <w:types>
          <w:type w:val="bbPlcHdr"/>
        </w:types>
        <w:behaviors>
          <w:behavior w:val="content"/>
        </w:behaviors>
        <w:description w:val=""/>
        <w:guid w:val="{AF9F93A5-C300-432C-9684-92C1A40AEC6B}"/>
      </w:docPartPr>
      <w:docPartBody>
        <w:p>
          <w:pPr>
            <w:pStyle w:val="27"/>
          </w:pPr>
          <w:r>
            <w:rPr>
              <w:color w:val="808080"/>
            </w:rPr>
            <w:t>单击此处输入文字。</w:t>
          </w:r>
        </w:p>
      </w:docPartBody>
    </w:docPart>
    <w:docPart>
      <w:docPartPr>
        <w:name w:val="96D9D0D886D84B3D8611020006963417"/>
        <w:style w:val=""/>
        <w:category>
          <w:name w:val="常规"/>
          <w:gallery w:val="placeholder"/>
        </w:category>
        <w:types>
          <w:type w:val="bbPlcHdr"/>
        </w:types>
        <w:behaviors>
          <w:behavior w:val="content"/>
        </w:behaviors>
        <w:description w:val=""/>
        <w:guid w:val="{177529D3-5DF4-4471-92F6-930A0D4F6A72}"/>
      </w:docPartPr>
      <w:docPartBody>
        <w:p>
          <w:pPr>
            <w:pStyle w:val="28"/>
          </w:pPr>
          <w:r>
            <w:rPr>
              <w:color w:val="808080"/>
            </w:rPr>
            <w:t>单击此处输入文字。</w:t>
          </w:r>
        </w:p>
      </w:docPartBody>
    </w:docPart>
    <w:docPart>
      <w:docPartPr>
        <w:name w:val="968D3FBE421341B7B46D36D3953429E7"/>
        <w:style w:val=""/>
        <w:category>
          <w:name w:val="常规"/>
          <w:gallery w:val="placeholder"/>
        </w:category>
        <w:types>
          <w:type w:val="bbPlcHdr"/>
        </w:types>
        <w:behaviors>
          <w:behavior w:val="content"/>
        </w:behaviors>
        <w:description w:val=""/>
        <w:guid w:val="{1F5EA566-754F-4A8D-A3EE-7853D611E083}"/>
      </w:docPartPr>
      <w:docPartBody>
        <w:p>
          <w:pPr>
            <w:pStyle w:val="29"/>
          </w:pPr>
          <w:r>
            <w:rPr>
              <w:color w:val="808080"/>
            </w:rPr>
            <w:t>单击此处输入文字。</w:t>
          </w:r>
        </w:p>
      </w:docPartBody>
    </w:docPart>
    <w:docPart>
      <w:docPartPr>
        <w:name w:val="A04C744AE37F43308FAA922F55A4F9BC"/>
        <w:style w:val=""/>
        <w:category>
          <w:name w:val="常规"/>
          <w:gallery w:val="placeholder"/>
        </w:category>
        <w:types>
          <w:type w:val="bbPlcHdr"/>
        </w:types>
        <w:behaviors>
          <w:behavior w:val="content"/>
        </w:behaviors>
        <w:description w:val=""/>
        <w:guid w:val="{89DCE0F1-3C67-419D-A1AA-5D5E8B57B4FE}"/>
      </w:docPartPr>
      <w:docPartBody>
        <w:p>
          <w:pPr>
            <w:pStyle w:val="30"/>
          </w:pPr>
          <w:r>
            <w:rPr>
              <w:color w:val="808080"/>
            </w:rPr>
            <w:t>单击此处输入文字。</w:t>
          </w:r>
        </w:p>
      </w:docPartBody>
    </w:docPart>
    <w:docPart>
      <w:docPartPr>
        <w:name w:val="E513CCBAFA4149648F61BC5DCC39B08F"/>
        <w:style w:val=""/>
        <w:category>
          <w:name w:val="常规"/>
          <w:gallery w:val="placeholder"/>
        </w:category>
        <w:types>
          <w:type w:val="bbPlcHdr"/>
        </w:types>
        <w:behaviors>
          <w:behavior w:val="content"/>
        </w:behaviors>
        <w:description w:val=""/>
        <w:guid w:val="{1030FFE7-AC0E-4E8B-84CB-D3103670D7EF}"/>
      </w:docPartPr>
      <w:docPartBody>
        <w:p>
          <w:pPr>
            <w:pStyle w:val="31"/>
          </w:pPr>
          <w:r>
            <w:rPr>
              <w:color w:val="808080"/>
            </w:rPr>
            <w:t>单击此处输入文字。</w:t>
          </w:r>
        </w:p>
      </w:docPartBody>
    </w:docPart>
    <w:docPart>
      <w:docPartPr>
        <w:name w:val="CA953A6B125E48C2AA2EE41AB0831C61"/>
        <w:style w:val=""/>
        <w:category>
          <w:name w:val="常规"/>
          <w:gallery w:val="placeholder"/>
        </w:category>
        <w:types>
          <w:type w:val="bbPlcHdr"/>
        </w:types>
        <w:behaviors>
          <w:behavior w:val="content"/>
        </w:behaviors>
        <w:description w:val=""/>
        <w:guid w:val="{2A17A16A-1F11-4C52-9058-36D0C2E77B85}"/>
      </w:docPartPr>
      <w:docPartBody>
        <w:p>
          <w:pPr>
            <w:pStyle w:val="32"/>
          </w:pPr>
          <w:r>
            <w:rPr>
              <w:color w:val="808080"/>
            </w:rPr>
            <w:t>单击此处输入文字。</w:t>
          </w:r>
        </w:p>
      </w:docPartBody>
    </w:docPart>
    <w:docPart>
      <w:docPartPr>
        <w:name w:val="2E2BB97A306B4B13B4AB88FE60346C0B"/>
        <w:style w:val=""/>
        <w:category>
          <w:name w:val="常规"/>
          <w:gallery w:val="placeholder"/>
        </w:category>
        <w:types>
          <w:type w:val="bbPlcHdr"/>
        </w:types>
        <w:behaviors>
          <w:behavior w:val="content"/>
        </w:behaviors>
        <w:description w:val=""/>
        <w:guid w:val="{C42286B5-5563-4AB6-9C80-23958CDBE9C7}"/>
      </w:docPartPr>
      <w:docPartBody>
        <w:p>
          <w:pPr>
            <w:pStyle w:val="33"/>
          </w:pPr>
          <w:r>
            <w:rPr>
              <w:color w:val="808080"/>
            </w:rPr>
            <w:t>单击此处输入文字。</w:t>
          </w:r>
        </w:p>
      </w:docPartBody>
    </w:docPart>
    <w:docPart>
      <w:docPartPr>
        <w:name w:val="4B0DD9A8421849FDBDC511E4D73A029D"/>
        <w:style w:val=""/>
        <w:category>
          <w:name w:val="常规"/>
          <w:gallery w:val="placeholder"/>
        </w:category>
        <w:types>
          <w:type w:val="bbPlcHdr"/>
        </w:types>
        <w:behaviors>
          <w:behavior w:val="content"/>
        </w:behaviors>
        <w:description w:val=""/>
        <w:guid w:val="{B0E0D126-D9C0-43A9-96F5-DE4975467BA5}"/>
      </w:docPartPr>
      <w:docPartBody>
        <w:p>
          <w:pPr>
            <w:pStyle w:val="34"/>
          </w:pPr>
          <w:r>
            <w:rPr>
              <w:color w:val="808080"/>
            </w:rPr>
            <w:t>单击此处输入文字。</w:t>
          </w:r>
        </w:p>
      </w:docPartBody>
    </w:docPart>
    <w:docPart>
      <w:docPartPr>
        <w:name w:val="4C1CC8DBD44B4A239DA550C817733586"/>
        <w:style w:val=""/>
        <w:category>
          <w:name w:val="常规"/>
          <w:gallery w:val="placeholder"/>
        </w:category>
        <w:types>
          <w:type w:val="bbPlcHdr"/>
        </w:types>
        <w:behaviors>
          <w:behavior w:val="content"/>
        </w:behaviors>
        <w:description w:val=""/>
        <w:guid w:val="{C2050874-41F7-4FC6-B6C1-D96742C305DB}"/>
      </w:docPartPr>
      <w:docPartBody>
        <w:p>
          <w:pPr>
            <w:pStyle w:val="35"/>
          </w:pPr>
          <w:r>
            <w:rPr>
              <w:color w:val="808080"/>
            </w:rPr>
            <w:t>单击此处输入文字。</w:t>
          </w:r>
        </w:p>
      </w:docPartBody>
    </w:docPart>
    <w:docPart>
      <w:docPartPr>
        <w:name w:val="5192D2A1E49A4E2085BFD42CCA105FB1"/>
        <w:style w:val=""/>
        <w:category>
          <w:name w:val="常规"/>
          <w:gallery w:val="placeholder"/>
        </w:category>
        <w:types>
          <w:type w:val="bbPlcHdr"/>
        </w:types>
        <w:behaviors>
          <w:behavior w:val="content"/>
        </w:behaviors>
        <w:description w:val=""/>
        <w:guid w:val="{563AF6A0-7AD1-491A-B32F-404D25E3C63B}"/>
      </w:docPartPr>
      <w:docPartBody>
        <w:p>
          <w:pPr>
            <w:pStyle w:val="36"/>
          </w:pPr>
          <w:r>
            <w:rPr>
              <w:color w:val="808080"/>
            </w:rPr>
            <w:t>单击此处输入文字。</w:t>
          </w:r>
        </w:p>
      </w:docPartBody>
    </w:docPart>
    <w:docPart>
      <w:docPartPr>
        <w:name w:val="865551EE8894442B9D773CBFAB70A9D0"/>
        <w:style w:val=""/>
        <w:category>
          <w:name w:val="常规"/>
          <w:gallery w:val="placeholder"/>
        </w:category>
        <w:types>
          <w:type w:val="bbPlcHdr"/>
        </w:types>
        <w:behaviors>
          <w:behavior w:val="content"/>
        </w:behaviors>
        <w:description w:val=""/>
        <w:guid w:val="{60068F5C-01B4-4067-B5E9-24CEBAF07E4A}"/>
      </w:docPartPr>
      <w:docPartBody>
        <w:p>
          <w:pPr>
            <w:pStyle w:val="37"/>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95C"/>
    <w:rsid w:val="003C595C"/>
    <w:rsid w:val="00574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559FC7D111014313AD8318E970A2B0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DABEAABE1BBA4349A9963018CF78BA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282EA9307EE4D34888381A45D9C67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61C7C4D9BFA4715B1583DE24A056E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B892DD8635D491184B22E52402CC8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4988724C162545E9B05B65CF23F9D9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47D98830E304464AA011AFB1EF5F537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1935A19BBC3A4F94A0FE993DB2D646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3D970AF402D247B19F318FE1B10FA1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B76F2E7602374D2895AD2A21200F79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19D0D5C734247C4AC62373F0E6C31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5768B9F41D274BF0BA5A946517ED8D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AB9C19874B2E4752A30446361C86FA9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06931193F8E14DB69524D6044EB0F9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62CA8C34D9964DC2BA16B28B9CA2A9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2C292FDF4919429C84ECBCB830BF63B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3DBE5A033D7642B8A20005C74B2373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4C94BF19E4F745CC81654E78346600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41D7552B928F45B987154D70A6D581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9AA83756C6D844FCAB63DE5EB3539A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F729F1FC793E4157945D456E749A23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28B469BF9BB47A2B73CD5D5F02E40E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F2172A7220854630BD0AC6EA9497FB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78FA242954A147C98D4301FAECFC22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96D9D0D886D84B3D86110200069634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968D3FBE421341B7B46D36D3953429E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A04C744AE37F43308FAA922F55A4F9B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E513CCBAFA4149648F61BC5DCC39B0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CA953A6B125E48C2AA2EE41AB0831C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2E2BB97A306B4B13B4AB88FE60346C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4B0DD9A8421849FDBDC511E4D73A02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4C1CC8DBD44B4A239DA550C8177335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5192D2A1E49A4E2085BFD42CCA105F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865551EE8894442B9D773CBFAB70A9D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15391</Words>
  <Characters>15696</Characters>
  <Lines>124</Lines>
  <Paragraphs>35</Paragraphs>
  <TotalTime>72</TotalTime>
  <ScaleCrop>false</ScaleCrop>
  <LinksUpToDate>false</LinksUpToDate>
  <CharactersWithSpaces>15959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2022-12-22T09:23:00Z</dcterms:created>
  <dc:creator>陈志</dc:creator>
  <cp:lastModifiedBy>＾笑颜＾</cp:lastModifiedBy>
  <cp:lastPrinted>2022-12-23T14:44:00Z</cp:lastPrinted>
  <dcterms:modified xsi:type="dcterms:W3CDTF">2025-04-03T10:49:39Z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FE2FB3597329491EB1E247971682D18E_12</vt:lpwstr>
  </property>
</Properties>
</file>