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rPr>
          <w:rFonts w:ascii="Times New Roman"/>
          <w:sz w:val="44"/>
        </w:rPr>
      </w:pPr>
    </w:p>
    <w:p>
      <w:pPr>
        <w:pStyle w:val="4"/>
        <w:ind w:left="0"/>
        <w:rPr>
          <w:rFonts w:ascii="Times New Roman"/>
          <w:sz w:val="44"/>
        </w:rPr>
      </w:pPr>
    </w:p>
    <w:p>
      <w:pPr>
        <w:pStyle w:val="4"/>
        <w:spacing w:before="380"/>
        <w:ind w:left="0"/>
        <w:rPr>
          <w:rFonts w:ascii="Times New Roman"/>
          <w:sz w:val="44"/>
        </w:rPr>
      </w:pPr>
    </w:p>
    <w:p>
      <w:pPr>
        <w:pStyle w:val="2"/>
        <w:spacing w:before="1"/>
        <w:rPr>
          <w:rFonts w:ascii="宋体" w:eastAsia="宋体"/>
        </w:rPr>
      </w:pPr>
      <w:bookmarkStart w:id="53" w:name="_GoBack"/>
      <w:r>
        <w:rPr>
          <w:rFonts w:ascii="宋体" w:eastAsia="宋体"/>
          <w:spacing w:val="-4"/>
        </w:rPr>
        <w:t>2023</w:t>
      </w:r>
      <w:r>
        <w:rPr>
          <w:rFonts w:ascii="宋体" w:eastAsia="宋体"/>
          <w:spacing w:val="-23"/>
        </w:rPr>
        <w:t xml:space="preserve"> 年度四川省</w:t>
      </w:r>
    </w:p>
    <w:p>
      <w:pPr>
        <w:spacing w:before="503"/>
        <w:ind w:left="1" w:right="143" w:firstLine="0"/>
        <w:jc w:val="center"/>
        <w:rPr>
          <w:sz w:val="44"/>
        </w:rPr>
      </w:pPr>
      <w:r>
        <w:rPr>
          <w:spacing w:val="-5"/>
          <w:sz w:val="44"/>
        </w:rPr>
        <w:t>遂宁市卫生健康委员会部门决算</w:t>
      </w:r>
    </w:p>
    <w:bookmarkEnd w:id="53"/>
    <w:p>
      <w:pPr>
        <w:spacing w:after="0"/>
        <w:jc w:val="center"/>
        <w:rPr>
          <w:sz w:val="44"/>
        </w:rPr>
        <w:sectPr>
          <w:type w:val="continuous"/>
          <w:pgSz w:w="11910" w:h="16840"/>
          <w:pgMar w:top="1920" w:right="1275" w:bottom="280" w:left="1417" w:header="720" w:footer="720" w:gutter="0"/>
          <w:cols w:space="720" w:num="1"/>
        </w:sectPr>
      </w:pPr>
    </w:p>
    <w:p>
      <w:pPr>
        <w:pStyle w:val="5"/>
      </w:pPr>
      <w:r>
        <w:rPr>
          <w:spacing w:val="-5"/>
        </w:rPr>
        <w:t>目录</w:t>
      </w:r>
    </w:p>
    <w:p>
      <w:pPr>
        <w:pStyle w:val="4"/>
        <w:spacing w:before="225"/>
        <w:ind w:left="0"/>
        <w:rPr>
          <w:rFonts w:ascii="黑体"/>
          <w:sz w:val="48"/>
        </w:rPr>
      </w:pPr>
    </w:p>
    <w:p>
      <w:pPr>
        <w:spacing w:before="1"/>
        <w:ind w:left="2646" w:right="0" w:firstLine="0"/>
        <w:jc w:val="left"/>
        <w:rPr>
          <w:rFonts w:ascii="仿宋" w:eastAsia="仿宋"/>
          <w:sz w:val="28"/>
        </w:rPr>
      </w:pPr>
      <w:r>
        <w:rPr>
          <w:rFonts w:ascii="仿宋" w:eastAsia="仿宋"/>
          <w:sz w:val="28"/>
        </w:rPr>
        <w:t>公开时间：2024</w:t>
      </w:r>
      <w:r>
        <w:rPr>
          <w:rFonts w:ascii="仿宋" w:eastAsia="仿宋"/>
          <w:spacing w:val="-48"/>
          <w:sz w:val="28"/>
        </w:rPr>
        <w:t xml:space="preserve"> 年 </w:t>
      </w:r>
      <w:r>
        <w:rPr>
          <w:rFonts w:ascii="仿宋" w:eastAsia="仿宋"/>
          <w:sz w:val="28"/>
        </w:rPr>
        <w:t>8</w:t>
      </w:r>
      <w:r>
        <w:rPr>
          <w:rFonts w:ascii="仿宋" w:eastAsia="仿宋"/>
          <w:spacing w:val="-36"/>
          <w:sz w:val="28"/>
        </w:rPr>
        <w:t xml:space="preserve"> 月</w:t>
      </w:r>
      <w:r>
        <w:rPr>
          <w:rFonts w:ascii="仿宋" w:eastAsia="仿宋"/>
          <w:spacing w:val="60"/>
          <w:w w:val="150"/>
          <w:sz w:val="28"/>
        </w:rPr>
        <w:t xml:space="preserve"> </w:t>
      </w:r>
      <w:r>
        <w:rPr>
          <w:rFonts w:ascii="仿宋" w:eastAsia="仿宋"/>
          <w:sz w:val="28"/>
        </w:rPr>
        <w:t>22</w:t>
      </w:r>
      <w:r>
        <w:rPr>
          <w:rFonts w:ascii="仿宋" w:eastAsia="仿宋"/>
          <w:spacing w:val="-41"/>
          <w:sz w:val="28"/>
        </w:rPr>
        <w:t xml:space="preserve"> 日</w:t>
      </w:r>
    </w:p>
    <w:p>
      <w:pPr>
        <w:pStyle w:val="4"/>
        <w:spacing w:before="188"/>
        <w:ind w:left="0"/>
        <w:rPr>
          <w:rFonts w:ascii="仿宋"/>
          <w:sz w:val="28"/>
        </w:rPr>
      </w:pPr>
    </w:p>
    <w:p>
      <w:pPr>
        <w:spacing w:before="0" w:line="338" w:lineRule="auto"/>
        <w:ind w:left="534" w:right="7057" w:hanging="420"/>
        <w:jc w:val="left"/>
        <w:rPr>
          <w:sz w:val="24"/>
        </w:rPr>
      </w:pPr>
      <w:r>
        <w:rPr>
          <w:rFonts w:ascii="仿宋" w:eastAsia="仿宋"/>
          <w:spacing w:val="-5"/>
          <w:sz w:val="24"/>
        </w:rPr>
        <w:t>第一部分 部门概况</w:t>
      </w:r>
      <w:r>
        <w:rPr>
          <w:spacing w:val="-2"/>
          <w:sz w:val="24"/>
        </w:rPr>
        <w:t>一、部门职责二、机构设置</w:t>
      </w:r>
    </w:p>
    <w:p>
      <w:pPr>
        <w:spacing w:before="1" w:line="338" w:lineRule="auto"/>
        <w:ind w:left="534" w:right="5077" w:hanging="420"/>
        <w:jc w:val="left"/>
        <w:rPr>
          <w:sz w:val="24"/>
        </w:rPr>
      </w:pPr>
      <w:r>
        <w:rPr>
          <w:rFonts w:ascii="仿宋" w:eastAsia="仿宋"/>
          <w:spacing w:val="-6"/>
          <w:sz w:val="24"/>
        </w:rPr>
        <w:t xml:space="preserve">第二部分 </w:t>
      </w:r>
      <w:r>
        <w:rPr>
          <w:rFonts w:ascii="仿宋" w:eastAsia="仿宋"/>
          <w:sz w:val="24"/>
        </w:rPr>
        <w:t>2023</w:t>
      </w:r>
      <w:r>
        <w:rPr>
          <w:rFonts w:ascii="仿宋" w:eastAsia="仿宋"/>
          <w:spacing w:val="-8"/>
          <w:sz w:val="24"/>
        </w:rPr>
        <w:t xml:space="preserve"> 年度部门决算情况说明</w:t>
      </w:r>
      <w:r>
        <w:rPr>
          <w:spacing w:val="-2"/>
          <w:sz w:val="24"/>
        </w:rPr>
        <w:t>一、收入支出决算总体情况说明 二、收入决算情况说明</w:t>
      </w:r>
    </w:p>
    <w:p>
      <w:pPr>
        <w:spacing w:before="0"/>
        <w:ind w:left="534" w:right="0" w:firstLine="0"/>
        <w:jc w:val="left"/>
        <w:rPr>
          <w:sz w:val="24"/>
        </w:rPr>
      </w:pPr>
      <w:r>
        <w:rPr>
          <w:spacing w:val="-1"/>
          <w:sz w:val="24"/>
        </w:rPr>
        <w:t>三、支出决算情况说明</w:t>
      </w:r>
    </w:p>
    <w:p>
      <w:pPr>
        <w:spacing w:before="129"/>
        <w:ind w:left="534" w:right="0" w:firstLine="0"/>
        <w:jc w:val="left"/>
        <w:rPr>
          <w:sz w:val="24"/>
        </w:rPr>
      </w:pPr>
      <w:r>
        <w:rPr>
          <w:spacing w:val="-1"/>
          <w:sz w:val="24"/>
        </w:rPr>
        <w:t>四、财政拨款收入支出决算总体情况说明</w:t>
      </w:r>
    </w:p>
    <w:p>
      <w:pPr>
        <w:spacing w:before="128"/>
        <w:ind w:left="534" w:right="0" w:firstLine="0"/>
        <w:jc w:val="left"/>
        <w:rPr>
          <w:sz w:val="24"/>
        </w:rPr>
      </w:pPr>
      <w:r>
        <w:rPr>
          <w:spacing w:val="-1"/>
          <w:sz w:val="24"/>
        </w:rPr>
        <w:t>五、一般公共预算财政拨款支出决算情况说明</w:t>
      </w:r>
    </w:p>
    <w:p>
      <w:pPr>
        <w:spacing w:before="127" w:line="340" w:lineRule="auto"/>
        <w:ind w:left="534" w:right="3397" w:firstLine="0"/>
        <w:jc w:val="left"/>
        <w:rPr>
          <w:sz w:val="24"/>
        </w:rPr>
      </w:pPr>
      <w:r>
        <w:rPr>
          <w:spacing w:val="-2"/>
          <w:sz w:val="24"/>
        </w:rPr>
        <w:t>六、一般公共预算财政拨款基本支出决算情况说明七、财政拨款“三公”经费支出决算情况说明</w:t>
      </w:r>
    </w:p>
    <w:p>
      <w:pPr>
        <w:spacing w:before="0" w:line="338" w:lineRule="auto"/>
        <w:ind w:left="534" w:right="4357" w:firstLine="0"/>
        <w:jc w:val="left"/>
        <w:rPr>
          <w:sz w:val="24"/>
        </w:rPr>
      </w:pPr>
      <w:r>
        <w:rPr>
          <w:spacing w:val="-2"/>
          <w:sz w:val="24"/>
        </w:rPr>
        <w:t>八、政府性基金预算支出决算情况说明 九、国有资本经营预算支出决算情况说明十、其他重要事项的情况说明</w:t>
      </w:r>
    </w:p>
    <w:p>
      <w:pPr>
        <w:spacing w:before="0" w:line="338" w:lineRule="auto"/>
        <w:ind w:left="114" w:right="7057" w:firstLine="0"/>
        <w:jc w:val="left"/>
        <w:rPr>
          <w:rFonts w:ascii="仿宋" w:eastAsia="仿宋"/>
          <w:sz w:val="24"/>
        </w:rPr>
      </w:pPr>
      <w:r>
        <w:rPr>
          <w:rFonts w:ascii="仿宋" w:eastAsia="仿宋"/>
          <w:spacing w:val="-5"/>
          <w:sz w:val="24"/>
        </w:rPr>
        <w:t>第三部分 名词解释</w:t>
      </w:r>
      <w:r>
        <w:rPr>
          <w:rFonts w:ascii="仿宋" w:eastAsia="仿宋"/>
          <w:sz w:val="24"/>
        </w:rPr>
        <w:t>第四部分 附件</w:t>
      </w:r>
    </w:p>
    <w:p>
      <w:pPr>
        <w:spacing w:before="0"/>
        <w:ind w:left="114" w:right="0" w:firstLine="0"/>
        <w:jc w:val="left"/>
        <w:rPr>
          <w:rFonts w:ascii="仿宋" w:eastAsia="仿宋"/>
          <w:sz w:val="24"/>
        </w:rPr>
      </w:pPr>
      <w:r>
        <w:rPr>
          <w:rFonts w:ascii="仿宋" w:eastAsia="仿宋"/>
          <w:spacing w:val="-2"/>
          <w:sz w:val="24"/>
        </w:rPr>
        <w:t>第五部分 附表</w:t>
      </w:r>
    </w:p>
    <w:p>
      <w:pPr>
        <w:spacing w:before="123" w:line="338" w:lineRule="auto"/>
        <w:ind w:left="534" w:right="6277" w:firstLine="0"/>
        <w:jc w:val="left"/>
        <w:rPr>
          <w:sz w:val="24"/>
        </w:rPr>
      </w:pPr>
      <w:r>
        <w:rPr>
          <w:spacing w:val="-2"/>
          <w:sz w:val="24"/>
        </w:rPr>
        <w:t>一、收入支出决算总表二、收入决算表</w:t>
      </w:r>
    </w:p>
    <w:p>
      <w:pPr>
        <w:spacing w:before="1"/>
        <w:ind w:left="534" w:right="0" w:firstLine="0"/>
        <w:jc w:val="left"/>
        <w:rPr>
          <w:sz w:val="24"/>
        </w:rPr>
      </w:pPr>
      <w:r>
        <w:rPr>
          <w:spacing w:val="-2"/>
          <w:sz w:val="24"/>
        </w:rPr>
        <w:t>三、支出决算表</w:t>
      </w:r>
    </w:p>
    <w:p>
      <w:pPr>
        <w:spacing w:before="127" w:line="338" w:lineRule="auto"/>
        <w:ind w:left="534" w:right="5317" w:firstLine="0"/>
        <w:jc w:val="left"/>
        <w:rPr>
          <w:sz w:val="24"/>
        </w:rPr>
      </w:pPr>
      <w:r>
        <w:rPr>
          <w:spacing w:val="-2"/>
          <w:sz w:val="24"/>
        </w:rPr>
        <w:t>四、财政拨款收入支出决算总表五、财政拨款支出决算明细表</w:t>
      </w:r>
    </w:p>
    <w:p>
      <w:pPr>
        <w:spacing w:before="1"/>
        <w:ind w:left="534" w:right="0" w:firstLine="0"/>
        <w:jc w:val="left"/>
        <w:rPr>
          <w:sz w:val="24"/>
        </w:rPr>
      </w:pPr>
      <w:r>
        <w:rPr>
          <w:spacing w:val="-1"/>
          <w:sz w:val="24"/>
        </w:rPr>
        <w:t>六、一般公共预算财政拨款支出决算表</w:t>
      </w:r>
    </w:p>
    <w:p>
      <w:pPr>
        <w:spacing w:before="127"/>
        <w:ind w:left="534" w:right="0" w:firstLine="0"/>
        <w:jc w:val="left"/>
        <w:rPr>
          <w:sz w:val="24"/>
        </w:rPr>
      </w:pPr>
      <w:r>
        <w:rPr>
          <w:spacing w:val="-1"/>
          <w:sz w:val="24"/>
        </w:rPr>
        <w:t>七、一般公共预算财政拨款支出决算明细表</w:t>
      </w:r>
    </w:p>
    <w:p>
      <w:pPr>
        <w:spacing w:before="128" w:line="340" w:lineRule="auto"/>
        <w:ind w:left="534" w:right="3637" w:firstLine="0"/>
        <w:jc w:val="left"/>
        <w:rPr>
          <w:sz w:val="24"/>
        </w:rPr>
      </w:pPr>
      <w:r>
        <w:rPr>
          <w:spacing w:val="-2"/>
          <w:sz w:val="24"/>
        </w:rPr>
        <w:t>八、一般公共预算财政拨款基本支出决算明细表九、一般公共预算财政拨款项目支出决算表</w:t>
      </w:r>
    </w:p>
    <w:p>
      <w:pPr>
        <w:spacing w:after="0" w:line="340" w:lineRule="auto"/>
        <w:jc w:val="left"/>
        <w:rPr>
          <w:sz w:val="24"/>
        </w:rPr>
        <w:sectPr>
          <w:footerReference r:id="rId5" w:type="default"/>
          <w:footerReference r:id="rId6" w:type="even"/>
          <w:pgSz w:w="11910" w:h="16840"/>
          <w:pgMar w:top="1500" w:right="1275" w:bottom="900" w:left="1417" w:header="0" w:footer="700" w:gutter="0"/>
          <w:pgNumType w:start="2"/>
          <w:cols w:space="720" w:num="1"/>
        </w:sectPr>
      </w:pPr>
    </w:p>
    <w:p>
      <w:pPr>
        <w:spacing w:before="42"/>
        <w:ind w:left="534" w:right="0" w:firstLine="0"/>
        <w:jc w:val="left"/>
        <w:rPr>
          <w:sz w:val="24"/>
        </w:rPr>
      </w:pPr>
      <w:r>
        <w:rPr>
          <w:spacing w:val="-1"/>
          <w:sz w:val="24"/>
        </w:rPr>
        <w:t>十、政府性基金预算财政拨款收入支出决算表</w:t>
      </w:r>
    </w:p>
    <w:p>
      <w:pPr>
        <w:spacing w:before="127" w:line="338" w:lineRule="auto"/>
        <w:ind w:left="534" w:right="3397" w:firstLine="0"/>
        <w:jc w:val="left"/>
        <w:rPr>
          <w:sz w:val="24"/>
        </w:rPr>
      </w:pPr>
      <w:r>
        <w:rPr>
          <w:spacing w:val="-2"/>
          <w:sz w:val="24"/>
        </w:rPr>
        <w:t>十一、国有资本经营预算财政拨款收入支出决算表十二、国有资本经营预算财政拨款支出决算表</w:t>
      </w:r>
    </w:p>
    <w:p>
      <w:pPr>
        <w:spacing w:before="1"/>
        <w:ind w:left="534" w:right="0" w:firstLine="0"/>
        <w:jc w:val="left"/>
        <w:rPr>
          <w:sz w:val="24"/>
        </w:rPr>
      </w:pPr>
      <w:r>
        <w:rPr>
          <w:spacing w:val="-1"/>
          <w:sz w:val="24"/>
        </w:rPr>
        <w:t>十三、财政拨款“三公”经费支出决算表</w:t>
      </w:r>
    </w:p>
    <w:p>
      <w:pPr>
        <w:spacing w:before="128"/>
        <w:ind w:left="1434" w:right="0" w:firstLine="0"/>
        <w:jc w:val="left"/>
        <w:rPr>
          <w:rFonts w:ascii="仿宋" w:eastAsia="仿宋"/>
          <w:sz w:val="24"/>
        </w:rPr>
      </w:pPr>
      <w:r>
        <w:rPr>
          <w:rFonts w:ascii="仿宋" w:eastAsia="仿宋"/>
          <w:spacing w:val="-1"/>
          <w:sz w:val="24"/>
        </w:rPr>
        <w:t>(注：请部门根据实际注明页码)</w:t>
      </w:r>
    </w:p>
    <w:p>
      <w:pPr>
        <w:spacing w:after="0"/>
        <w:jc w:val="left"/>
        <w:rPr>
          <w:rFonts w:ascii="仿宋" w:eastAsia="仿宋"/>
          <w:sz w:val="24"/>
        </w:rPr>
        <w:sectPr>
          <w:pgSz w:w="11910" w:h="16840"/>
          <w:pgMar w:top="1580" w:right="1275" w:bottom="900" w:left="1417" w:header="0" w:footer="700" w:gutter="0"/>
          <w:cols w:space="720" w:num="1"/>
        </w:sectPr>
      </w:pPr>
    </w:p>
    <w:p>
      <w:pPr>
        <w:pStyle w:val="2"/>
        <w:spacing w:before="458"/>
      </w:pPr>
      <w:bookmarkStart w:id="0" w:name="第一部分 部门概况"/>
      <w:bookmarkEnd w:id="0"/>
      <w:r>
        <w:rPr>
          <w:spacing w:val="-6"/>
        </w:rPr>
        <w:t>第一部分 部门概况</w:t>
      </w:r>
    </w:p>
    <w:p>
      <w:pPr>
        <w:pStyle w:val="4"/>
        <w:ind w:left="0"/>
        <w:rPr>
          <w:rFonts w:ascii="黑体"/>
        </w:rPr>
      </w:pPr>
    </w:p>
    <w:p>
      <w:pPr>
        <w:pStyle w:val="4"/>
        <w:ind w:left="0"/>
        <w:rPr>
          <w:rFonts w:ascii="黑体"/>
        </w:rPr>
      </w:pPr>
    </w:p>
    <w:p>
      <w:pPr>
        <w:pStyle w:val="4"/>
        <w:spacing w:before="163"/>
        <w:ind w:left="0"/>
        <w:rPr>
          <w:rFonts w:ascii="黑体"/>
        </w:rPr>
      </w:pPr>
    </w:p>
    <w:p>
      <w:pPr>
        <w:pStyle w:val="4"/>
        <w:rPr>
          <w:rFonts w:ascii="黑体" w:eastAsia="黑体"/>
        </w:rPr>
      </w:pPr>
      <w:r>
        <w:rPr>
          <w:rFonts w:ascii="黑体" w:eastAsia="黑体"/>
          <w:spacing w:val="-5"/>
        </w:rPr>
        <w:t>一、部门职责</w:t>
      </w:r>
    </w:p>
    <w:p>
      <w:pPr>
        <w:pStyle w:val="4"/>
        <w:spacing w:before="39"/>
        <w:ind w:left="0"/>
        <w:rPr>
          <w:rFonts w:ascii="黑体"/>
        </w:rPr>
      </w:pPr>
    </w:p>
    <w:p>
      <w:pPr>
        <w:pStyle w:val="9"/>
        <w:numPr>
          <w:ilvl w:val="0"/>
          <w:numId w:val="1"/>
        </w:numPr>
        <w:tabs>
          <w:tab w:val="left" w:pos="1072"/>
        </w:tabs>
        <w:spacing w:before="0" w:after="0" w:line="300" w:lineRule="auto"/>
        <w:ind w:left="114" w:right="255" w:firstLine="640"/>
        <w:jc w:val="both"/>
        <w:rPr>
          <w:sz w:val="32"/>
        </w:rPr>
      </w:pPr>
      <w:bookmarkStart w:id="1" w:name="1.组织拟订全市卫生健康政策。负责拟订全市卫生健康事业发展政策措施、规划并组织实"/>
      <w:bookmarkEnd w:id="1"/>
      <w:r>
        <w:rPr>
          <w:spacing w:val="-11"/>
          <w:sz w:val="32"/>
        </w:rPr>
        <w:t>组织拟订全市卫生健康政策。负责拟订全市卫生健康事业</w:t>
      </w:r>
      <w:r>
        <w:rPr>
          <w:spacing w:val="-13"/>
          <w:sz w:val="32"/>
        </w:rPr>
        <w:t>发展政策措施、规划并组织实施。统筹规划全市卫生健康资源配</w:t>
      </w:r>
      <w:r>
        <w:rPr>
          <w:spacing w:val="-12"/>
          <w:sz w:val="32"/>
        </w:rPr>
        <w:t>置。制定并组织实施推进卫生健康基本公共卫生服务均等化、普</w:t>
      </w:r>
      <w:r>
        <w:rPr>
          <w:spacing w:val="-2"/>
          <w:sz w:val="32"/>
        </w:rPr>
        <w:t>惠化、便捷化和公共资源向基层延伸等政策措施。</w:t>
      </w:r>
    </w:p>
    <w:p>
      <w:pPr>
        <w:pStyle w:val="9"/>
        <w:numPr>
          <w:ilvl w:val="0"/>
          <w:numId w:val="1"/>
        </w:numPr>
        <w:tabs>
          <w:tab w:val="left" w:pos="1072"/>
        </w:tabs>
        <w:spacing w:before="140" w:after="0" w:line="300" w:lineRule="auto"/>
        <w:ind w:left="114" w:right="254" w:firstLine="640"/>
        <w:jc w:val="both"/>
        <w:rPr>
          <w:sz w:val="32"/>
        </w:rPr>
      </w:pPr>
      <w:bookmarkStart w:id="2" w:name="2.牵头推进全市深化医药卫生体制改革，研究提出深化改革政策措施建议。牵头负责全市"/>
      <w:bookmarkEnd w:id="2"/>
      <w:r>
        <w:rPr>
          <w:spacing w:val="-9"/>
          <w:sz w:val="32"/>
        </w:rPr>
        <w:t>牵头推进全市深化医药卫生体制改革，研究提出深化改革</w:t>
      </w:r>
      <w:r>
        <w:rPr>
          <w:spacing w:val="-6"/>
          <w:sz w:val="32"/>
        </w:rPr>
        <w:t>政策措施建议。牵头负责全市分级诊疗、现代医院管理、综合监</w:t>
      </w:r>
      <w:r>
        <w:rPr>
          <w:spacing w:val="-11"/>
          <w:sz w:val="32"/>
        </w:rPr>
        <w:t>管等基本医疗卫生制度建设。制定并组织实施推动卫生健康公共</w:t>
      </w:r>
      <w:r>
        <w:rPr>
          <w:spacing w:val="-2"/>
          <w:sz w:val="32"/>
        </w:rPr>
        <w:t>服务提供主题多元化、方式多样化的政策措施。</w:t>
      </w:r>
    </w:p>
    <w:p>
      <w:pPr>
        <w:pStyle w:val="9"/>
        <w:numPr>
          <w:ilvl w:val="0"/>
          <w:numId w:val="1"/>
        </w:numPr>
        <w:tabs>
          <w:tab w:val="left" w:pos="1072"/>
        </w:tabs>
        <w:spacing w:before="140" w:after="0" w:line="300" w:lineRule="auto"/>
        <w:ind w:left="114" w:right="254" w:firstLine="640"/>
        <w:jc w:val="both"/>
        <w:rPr>
          <w:sz w:val="32"/>
        </w:rPr>
      </w:pPr>
      <w:bookmarkStart w:id="3" w:name="3.制定并组织落实全市疾病预防控制规划、免疫规划以及严重危害人民健康的艾滋病等重"/>
      <w:bookmarkEnd w:id="3"/>
      <w:r>
        <w:rPr>
          <w:spacing w:val="-9"/>
          <w:sz w:val="32"/>
        </w:rPr>
        <w:t>制定并组织落实全市疾病预防控制规划、免疫规划以及严重危害人民健康的艾滋病等重大传染病、寄生虫病、地方病等公</w:t>
      </w:r>
      <w:r>
        <w:rPr>
          <w:spacing w:val="-11"/>
          <w:sz w:val="32"/>
        </w:rPr>
        <w:t>共卫生问题的干预措施。负责全市卫生应急工作，组织指导全市</w:t>
      </w:r>
      <w:r>
        <w:rPr>
          <w:spacing w:val="-2"/>
          <w:sz w:val="32"/>
        </w:rPr>
        <w:t>突发公共卫生事件预防控制和各类突发公共事件的医疗卫生救</w:t>
      </w:r>
      <w:r>
        <w:rPr>
          <w:spacing w:val="-13"/>
          <w:sz w:val="32"/>
        </w:rPr>
        <w:t>援。按照权限发布传染病疫情信息、突发公共卫生事件应急处置信息。依照国家检疫传染病和监测传染病目录，参与开展检疫检</w:t>
      </w:r>
      <w:r>
        <w:rPr>
          <w:spacing w:val="-4"/>
          <w:sz w:val="32"/>
        </w:rPr>
        <w:t>测工作。</w:t>
      </w:r>
    </w:p>
    <w:p>
      <w:pPr>
        <w:pStyle w:val="9"/>
        <w:numPr>
          <w:ilvl w:val="0"/>
          <w:numId w:val="1"/>
        </w:numPr>
        <w:tabs>
          <w:tab w:val="left" w:pos="1072"/>
        </w:tabs>
        <w:spacing w:before="140" w:after="0" w:line="300" w:lineRule="auto"/>
        <w:ind w:left="114" w:right="256" w:firstLine="640"/>
        <w:jc w:val="left"/>
        <w:rPr>
          <w:sz w:val="32"/>
        </w:rPr>
      </w:pPr>
      <w:bookmarkStart w:id="4" w:name="4.贯彻实施中医药发展规划和技术规范，负责中医医疗机构的监督管理，促进中医药资源"/>
      <w:bookmarkEnd w:id="4"/>
      <w:r>
        <w:rPr>
          <w:spacing w:val="-9"/>
          <w:sz w:val="32"/>
        </w:rPr>
        <w:t>贯彻实施中医药发展规划和技术规范，负责中医医疗机构</w:t>
      </w:r>
      <w:r>
        <w:rPr>
          <w:spacing w:val="-2"/>
          <w:sz w:val="32"/>
        </w:rPr>
        <w:t>的监督管理，促进中医药资源的保护、开发和合理利用。</w:t>
      </w:r>
    </w:p>
    <w:p>
      <w:pPr>
        <w:pStyle w:val="9"/>
        <w:numPr>
          <w:ilvl w:val="0"/>
          <w:numId w:val="1"/>
        </w:numPr>
        <w:tabs>
          <w:tab w:val="left" w:pos="1073"/>
        </w:tabs>
        <w:spacing w:before="141" w:after="0" w:line="240" w:lineRule="auto"/>
        <w:ind w:left="1073" w:right="0" w:hanging="318"/>
        <w:jc w:val="left"/>
        <w:rPr>
          <w:sz w:val="32"/>
        </w:rPr>
      </w:pPr>
      <w:bookmarkStart w:id="5" w:name="5.贯彻落实国家应对人口老龄化政策措施。负责推进老年健康服务体系建设和医养结合工"/>
      <w:bookmarkEnd w:id="5"/>
      <w:r>
        <w:rPr>
          <w:spacing w:val="-11"/>
          <w:sz w:val="32"/>
        </w:rPr>
        <w:t>贯彻落实国家应对人口老龄化政策措施。负责推进老年健</w:t>
      </w:r>
    </w:p>
    <w:p>
      <w:pPr>
        <w:pStyle w:val="9"/>
        <w:spacing w:after="0" w:line="240" w:lineRule="auto"/>
        <w:jc w:val="left"/>
        <w:rPr>
          <w:sz w:val="32"/>
        </w:rPr>
        <w:sectPr>
          <w:pgSz w:w="11910" w:h="16840"/>
          <w:pgMar w:top="1920" w:right="1275" w:bottom="900" w:left="1417" w:header="0" w:footer="700" w:gutter="0"/>
          <w:cols w:space="720" w:num="1"/>
        </w:sectPr>
      </w:pPr>
    </w:p>
    <w:p>
      <w:pPr>
        <w:pStyle w:val="4"/>
        <w:spacing w:before="23" w:line="300" w:lineRule="auto"/>
        <w:ind w:right="254"/>
      </w:pPr>
      <w:r>
        <w:rPr>
          <w:spacing w:val="-10"/>
        </w:rPr>
        <w:t>康服务体系建设和医养结合工作。承担市老龄工作委员会日常工</w:t>
      </w:r>
      <w:r>
        <w:rPr>
          <w:spacing w:val="-6"/>
        </w:rPr>
        <w:t>作。</w:t>
      </w:r>
    </w:p>
    <w:p>
      <w:pPr>
        <w:pStyle w:val="9"/>
        <w:numPr>
          <w:ilvl w:val="0"/>
          <w:numId w:val="1"/>
        </w:numPr>
        <w:tabs>
          <w:tab w:val="left" w:pos="1072"/>
        </w:tabs>
        <w:spacing w:before="141" w:after="0" w:line="300" w:lineRule="auto"/>
        <w:ind w:left="114" w:right="254" w:firstLine="640"/>
        <w:jc w:val="both"/>
        <w:rPr>
          <w:sz w:val="32"/>
        </w:rPr>
      </w:pPr>
      <w:bookmarkStart w:id="6" w:name="6.贯彻落实国家药物政策和国家基本药物制度。开展药械使用检测、临床综合评价和短缺"/>
      <w:bookmarkEnd w:id="6"/>
      <w:r>
        <w:rPr>
          <w:spacing w:val="-8"/>
          <w:sz w:val="32"/>
        </w:rPr>
        <w:t>贯彻落实国家药物政策和国家基本药物制度。开展药械使</w:t>
      </w:r>
      <w:r>
        <w:rPr>
          <w:spacing w:val="-13"/>
          <w:sz w:val="32"/>
        </w:rPr>
        <w:t>用检测、临床综合评价和短缺药品预警，组织执行国家药典和国</w:t>
      </w:r>
      <w:r>
        <w:rPr>
          <w:spacing w:val="-12"/>
          <w:sz w:val="32"/>
        </w:rPr>
        <w:t>家基本药物目录，落实基本药物使用的政策措施。按照国家和省</w:t>
      </w:r>
      <w:r>
        <w:rPr>
          <w:spacing w:val="-7"/>
          <w:sz w:val="32"/>
        </w:rPr>
        <w:t>相关要求会同有关单位制定和实施食品安全风险监测计划。依法</w:t>
      </w:r>
      <w:r>
        <w:rPr>
          <w:spacing w:val="-2"/>
          <w:sz w:val="32"/>
        </w:rPr>
        <w:t>开展食品安全企业标准备案。</w:t>
      </w:r>
    </w:p>
    <w:p>
      <w:pPr>
        <w:pStyle w:val="9"/>
        <w:numPr>
          <w:ilvl w:val="0"/>
          <w:numId w:val="1"/>
        </w:numPr>
        <w:tabs>
          <w:tab w:val="left" w:pos="1072"/>
        </w:tabs>
        <w:spacing w:before="141" w:after="0" w:line="300" w:lineRule="auto"/>
        <w:ind w:left="114" w:right="256" w:firstLine="640"/>
        <w:jc w:val="both"/>
        <w:rPr>
          <w:sz w:val="32"/>
        </w:rPr>
      </w:pPr>
      <w:bookmarkStart w:id="7" w:name="7.负责职责范围内的职业卫生、放射卫生、环境卫生、学校卫生、公共场所卫生、饮用水"/>
      <w:bookmarkEnd w:id="7"/>
      <w:r>
        <w:rPr>
          <w:spacing w:val="-6"/>
          <w:sz w:val="32"/>
        </w:rPr>
        <w:t>负责职责范围内的职业卫生、放射卫生、环境卫生、学校卫生、公共场所卫生、饮用水卫生等公共卫生的监督管理。负责</w:t>
      </w:r>
      <w:r>
        <w:rPr>
          <w:spacing w:val="-2"/>
          <w:sz w:val="32"/>
        </w:rPr>
        <w:t>传染病防治监督，健全卫生健康综合监督体系。</w:t>
      </w:r>
    </w:p>
    <w:p>
      <w:pPr>
        <w:pStyle w:val="9"/>
        <w:numPr>
          <w:ilvl w:val="0"/>
          <w:numId w:val="1"/>
        </w:numPr>
        <w:tabs>
          <w:tab w:val="left" w:pos="1072"/>
        </w:tabs>
        <w:spacing w:before="139" w:after="0" w:line="300" w:lineRule="auto"/>
        <w:ind w:left="114" w:right="254" w:firstLine="640"/>
        <w:jc w:val="both"/>
        <w:rPr>
          <w:sz w:val="32"/>
        </w:rPr>
      </w:pPr>
      <w:bookmarkStart w:id="8" w:name="8.负责全市医疗机构的监督管理，制定医疗机构、医疗服务行业管理办法并组织实施。会"/>
      <w:bookmarkEnd w:id="8"/>
      <w:r>
        <w:rPr>
          <w:spacing w:val="-9"/>
          <w:sz w:val="32"/>
        </w:rPr>
        <w:t>负责全市医疗机构的监督管理，制定医疗机构、医疗服务</w:t>
      </w:r>
      <w:r>
        <w:rPr>
          <w:spacing w:val="-12"/>
          <w:sz w:val="32"/>
        </w:rPr>
        <w:t>行业管理办法并组织实施。会同有关单位实施卫生健康专业技术人员资格标准。组织实施医疗服务规范、卫生健康专业技术人员</w:t>
      </w:r>
      <w:r>
        <w:rPr>
          <w:spacing w:val="-2"/>
          <w:sz w:val="32"/>
        </w:rPr>
        <w:t>执业规则和服务规范。</w:t>
      </w:r>
    </w:p>
    <w:p>
      <w:pPr>
        <w:pStyle w:val="9"/>
        <w:numPr>
          <w:ilvl w:val="0"/>
          <w:numId w:val="1"/>
        </w:numPr>
        <w:tabs>
          <w:tab w:val="left" w:pos="1072"/>
        </w:tabs>
        <w:spacing w:before="140" w:after="0" w:line="300" w:lineRule="auto"/>
        <w:ind w:left="114" w:right="138" w:firstLine="640"/>
        <w:jc w:val="left"/>
        <w:rPr>
          <w:sz w:val="32"/>
        </w:rPr>
      </w:pPr>
      <w:bookmarkStart w:id="9" w:name="9.负责全市计划生育管理和服务工作。开展人口监测预警，研究提出人口与家庭发展相关"/>
      <w:bookmarkEnd w:id="9"/>
      <w:r>
        <w:rPr>
          <w:w w:val="99"/>
          <w:sz w:val="32"/>
        </w:rPr>
        <w:t>负责全市计划生育管理和服务工作。开展人口监测预警，</w:t>
      </w:r>
      <w:r>
        <w:rPr>
          <w:spacing w:val="6"/>
          <w:w w:val="99"/>
          <w:sz w:val="32"/>
        </w:rPr>
        <w:t>研究提出人口与家庭发展相关政策建议，贯彻落实计划生育政策。</w:t>
      </w:r>
    </w:p>
    <w:p>
      <w:pPr>
        <w:pStyle w:val="9"/>
        <w:numPr>
          <w:ilvl w:val="0"/>
          <w:numId w:val="1"/>
        </w:numPr>
        <w:tabs>
          <w:tab w:val="left" w:pos="1232"/>
        </w:tabs>
        <w:spacing w:before="139" w:after="0" w:line="300" w:lineRule="auto"/>
        <w:ind w:left="114" w:right="254" w:firstLine="640"/>
        <w:jc w:val="both"/>
        <w:rPr>
          <w:sz w:val="32"/>
        </w:rPr>
      </w:pPr>
      <w:bookmarkStart w:id="10" w:name="10.指导县（区）卫生健康工作。指导基层医疗卫生、妇幼健康服务体系和基层卫生队伍"/>
      <w:bookmarkEnd w:id="10"/>
      <w:r>
        <w:rPr>
          <w:spacing w:val="-2"/>
          <w:sz w:val="32"/>
        </w:rPr>
        <w:t>指导县（区）卫生健康工作。指导基层医疗卫生、妇幼健康服务体系和基层卫生队伍建设。推进卫生健康科技创新发</w:t>
      </w:r>
      <w:r>
        <w:rPr>
          <w:spacing w:val="-6"/>
          <w:sz w:val="32"/>
        </w:rPr>
        <w:t>展。</w:t>
      </w:r>
    </w:p>
    <w:p>
      <w:pPr>
        <w:pStyle w:val="9"/>
        <w:numPr>
          <w:ilvl w:val="0"/>
          <w:numId w:val="1"/>
        </w:numPr>
        <w:tabs>
          <w:tab w:val="left" w:pos="1232"/>
        </w:tabs>
        <w:spacing w:before="142" w:after="0" w:line="300" w:lineRule="auto"/>
        <w:ind w:left="114" w:right="256" w:firstLine="640"/>
        <w:jc w:val="both"/>
        <w:rPr>
          <w:sz w:val="32"/>
        </w:rPr>
      </w:pPr>
      <w:bookmarkStart w:id="11" w:name="11.负责市确定的保健对象的医疗保健工作。负责市直有关单位（单位）离休干部医疗管"/>
      <w:bookmarkEnd w:id="11"/>
      <w:r>
        <w:rPr>
          <w:spacing w:val="-2"/>
          <w:sz w:val="32"/>
        </w:rPr>
        <w:t>负责市确定的保健对象的医疗保健工作。负责市直有关</w:t>
      </w:r>
      <w:r>
        <w:rPr>
          <w:spacing w:val="-6"/>
          <w:sz w:val="32"/>
        </w:rPr>
        <w:t>单位（单位）离休干部医疗管理工作。负责重要会议与重大活动</w:t>
      </w:r>
      <w:r>
        <w:rPr>
          <w:spacing w:val="-2"/>
          <w:sz w:val="32"/>
        </w:rPr>
        <w:t>的医疗卫生保障工作。</w:t>
      </w:r>
    </w:p>
    <w:p>
      <w:pPr>
        <w:pStyle w:val="9"/>
        <w:numPr>
          <w:ilvl w:val="0"/>
          <w:numId w:val="1"/>
        </w:numPr>
        <w:tabs>
          <w:tab w:val="left" w:pos="1233"/>
        </w:tabs>
        <w:spacing w:before="139" w:after="0" w:line="240" w:lineRule="auto"/>
        <w:ind w:left="1233" w:right="0" w:hanging="478"/>
        <w:jc w:val="left"/>
        <w:rPr>
          <w:sz w:val="32"/>
        </w:rPr>
      </w:pPr>
      <w:bookmarkStart w:id="12" w:name="12.指导市计划生育协会的业务工作，代管市计划生育协会。"/>
      <w:bookmarkEnd w:id="12"/>
      <w:r>
        <w:rPr>
          <w:spacing w:val="-12"/>
          <w:sz w:val="32"/>
        </w:rPr>
        <w:t>指导市计划生育协会的业务工作，代管市计划生育协会。</w:t>
      </w:r>
    </w:p>
    <w:p>
      <w:pPr>
        <w:pStyle w:val="9"/>
        <w:spacing w:after="0" w:line="240" w:lineRule="auto"/>
        <w:jc w:val="left"/>
        <w:rPr>
          <w:sz w:val="32"/>
        </w:rPr>
        <w:sectPr>
          <w:pgSz w:w="11910" w:h="16840"/>
          <w:pgMar w:top="1580" w:right="1275" w:bottom="900" w:left="1417" w:header="0" w:footer="700" w:gutter="0"/>
          <w:cols w:space="720" w:num="1"/>
        </w:sectPr>
      </w:pPr>
    </w:p>
    <w:p>
      <w:pPr>
        <w:pStyle w:val="9"/>
        <w:numPr>
          <w:ilvl w:val="0"/>
          <w:numId w:val="1"/>
        </w:numPr>
        <w:tabs>
          <w:tab w:val="left" w:pos="1232"/>
        </w:tabs>
        <w:spacing w:before="23" w:after="0" w:line="300" w:lineRule="auto"/>
        <w:ind w:left="114" w:right="95" w:firstLine="640"/>
        <w:jc w:val="left"/>
        <w:rPr>
          <w:sz w:val="32"/>
        </w:rPr>
      </w:pPr>
      <w:bookmarkStart w:id="13" w:name="13.负责职责范围内的安全生产和职业健康、生态环境保护、审批服务便民化等工作。"/>
      <w:bookmarkEnd w:id="13"/>
      <w:r>
        <w:rPr>
          <w:spacing w:val="-9"/>
          <w:sz w:val="32"/>
        </w:rPr>
        <w:t>负责职责范围内的安全生产和职业健康、生态环境保护、</w:t>
      </w:r>
      <w:r>
        <w:rPr>
          <w:spacing w:val="-2"/>
          <w:sz w:val="32"/>
        </w:rPr>
        <w:t>审批服务便民化等工作。</w:t>
      </w:r>
    </w:p>
    <w:p>
      <w:pPr>
        <w:pStyle w:val="9"/>
        <w:numPr>
          <w:ilvl w:val="0"/>
          <w:numId w:val="1"/>
        </w:numPr>
        <w:tabs>
          <w:tab w:val="left" w:pos="1233"/>
        </w:tabs>
        <w:spacing w:before="141" w:after="0" w:line="240" w:lineRule="auto"/>
        <w:ind w:left="1233" w:right="0" w:hanging="478"/>
        <w:jc w:val="left"/>
        <w:rPr>
          <w:sz w:val="32"/>
        </w:rPr>
      </w:pPr>
      <w:bookmarkStart w:id="14" w:name="14.完成市委和市政府交办的其他任务。"/>
      <w:bookmarkEnd w:id="14"/>
      <w:r>
        <w:rPr>
          <w:spacing w:val="-5"/>
          <w:sz w:val="32"/>
        </w:rPr>
        <w:t>完成市委和市政府交办的其他任务。</w:t>
      </w:r>
    </w:p>
    <w:p>
      <w:pPr>
        <w:pStyle w:val="9"/>
        <w:numPr>
          <w:ilvl w:val="0"/>
          <w:numId w:val="1"/>
        </w:numPr>
        <w:tabs>
          <w:tab w:val="left" w:pos="1232"/>
        </w:tabs>
        <w:spacing w:before="244" w:after="0" w:line="300" w:lineRule="auto"/>
        <w:ind w:left="114" w:right="95" w:firstLine="640"/>
        <w:jc w:val="left"/>
        <w:rPr>
          <w:sz w:val="32"/>
        </w:rPr>
      </w:pPr>
      <w:bookmarkStart w:id="15" w:name="15.职能转变。牢固树立大卫生、大健康理念，推动实施健康四川和健康遂宁战略，以改"/>
      <w:bookmarkEnd w:id="15"/>
      <w:r>
        <w:rPr>
          <w:spacing w:val="1"/>
          <w:w w:val="99"/>
          <w:sz w:val="32"/>
        </w:rPr>
        <w:t>职能转变。牢固树立大卫生、大健康理念，推动实施健</w:t>
      </w:r>
      <w:r>
        <w:rPr>
          <w:spacing w:val="-18"/>
          <w:w w:val="99"/>
          <w:sz w:val="32"/>
        </w:rPr>
        <w:t>康四川和健康遂宁战略，以改革创新为动力，以促健康、转模式、</w:t>
      </w:r>
      <w:r>
        <w:rPr>
          <w:spacing w:val="-11"/>
          <w:w w:val="99"/>
          <w:sz w:val="32"/>
        </w:rPr>
        <w:t>强基层、重保障为着力点，把以治病为中心转变到以人民健康为中心，为人民群众提供全方位全周期卫生健康服务。一是更加注</w:t>
      </w:r>
      <w:r>
        <w:rPr>
          <w:spacing w:val="-18"/>
          <w:w w:val="99"/>
          <w:sz w:val="32"/>
        </w:rPr>
        <w:t>重预防为主和健康促进，提高健康意识，加强爱国卫生运动工作，</w:t>
      </w:r>
      <w:r>
        <w:rPr>
          <w:spacing w:val="-12"/>
          <w:w w:val="99"/>
          <w:sz w:val="32"/>
        </w:rPr>
        <w:t>加强预防控制重大疾病工作，积极应对人口老龄化，健全卫生健</w:t>
      </w:r>
      <w:r>
        <w:rPr>
          <w:spacing w:val="-10"/>
          <w:w w:val="99"/>
          <w:sz w:val="32"/>
        </w:rPr>
        <w:t>康服务体系。二是更加注重卫生健康服务公平性和可及性，推动</w:t>
      </w:r>
      <w:r>
        <w:rPr>
          <w:spacing w:val="-2"/>
          <w:w w:val="99"/>
          <w:sz w:val="32"/>
        </w:rPr>
        <w:t>工作中心下移和资源下沉，推进卫生健康公共资源向基层延伸、</w:t>
      </w:r>
      <w:r>
        <w:rPr>
          <w:spacing w:val="-11"/>
          <w:w w:val="99"/>
          <w:sz w:val="32"/>
        </w:rPr>
        <w:t>向农村覆盖、向边远地区和生活困难群众倾斜。三是更加注重提</w:t>
      </w:r>
      <w:r>
        <w:rPr>
          <w:spacing w:val="6"/>
          <w:w w:val="99"/>
          <w:sz w:val="32"/>
        </w:rPr>
        <w:t>高服务质量和水平，推动建设高质量健康服务基地和中医药强</w:t>
      </w:r>
      <w:r>
        <w:rPr>
          <w:spacing w:val="-9"/>
          <w:w w:val="99"/>
          <w:sz w:val="32"/>
        </w:rPr>
        <w:t>市。四是更加注重深化医药卫生</w:t>
      </w:r>
      <w:r>
        <w:rPr>
          <w:rFonts w:hint="eastAsia"/>
          <w:spacing w:val="-9"/>
          <w:w w:val="99"/>
          <w:sz w:val="32"/>
          <w:lang w:eastAsia="zh-CN"/>
        </w:rPr>
        <w:t>体制改革</w:t>
      </w:r>
      <w:r>
        <w:rPr>
          <w:spacing w:val="-9"/>
          <w:w w:val="99"/>
          <w:sz w:val="32"/>
        </w:rPr>
        <w:t>的科学性和持续性，加</w:t>
      </w:r>
      <w:r>
        <w:rPr>
          <w:spacing w:val="-10"/>
          <w:w w:val="99"/>
          <w:sz w:val="32"/>
        </w:rPr>
        <w:t>快分级诊疗制度建设，加强医疗、医保、医药的联动改革，加大</w:t>
      </w:r>
      <w:r>
        <w:rPr>
          <w:spacing w:val="-2"/>
          <w:w w:val="99"/>
          <w:sz w:val="32"/>
        </w:rPr>
        <w:t>公立医院改革力度。</w:t>
      </w:r>
    </w:p>
    <w:p>
      <w:pPr>
        <w:pStyle w:val="9"/>
        <w:numPr>
          <w:ilvl w:val="0"/>
          <w:numId w:val="1"/>
        </w:numPr>
        <w:tabs>
          <w:tab w:val="left" w:pos="1233"/>
        </w:tabs>
        <w:spacing w:before="140" w:after="0" w:line="240" w:lineRule="auto"/>
        <w:ind w:left="1233" w:right="0" w:hanging="478"/>
        <w:jc w:val="left"/>
        <w:rPr>
          <w:sz w:val="32"/>
        </w:rPr>
      </w:pPr>
      <w:bookmarkStart w:id="16" w:name="16.有关职责分工"/>
      <w:bookmarkEnd w:id="16"/>
      <w:r>
        <w:rPr>
          <w:spacing w:val="-5"/>
          <w:sz w:val="32"/>
        </w:rPr>
        <w:t>有关职责分工</w:t>
      </w:r>
    </w:p>
    <w:p>
      <w:pPr>
        <w:pStyle w:val="9"/>
        <w:numPr>
          <w:ilvl w:val="0"/>
          <w:numId w:val="2"/>
        </w:numPr>
        <w:tabs>
          <w:tab w:val="left" w:pos="1556"/>
        </w:tabs>
        <w:spacing w:before="244" w:after="0" w:line="300" w:lineRule="auto"/>
        <w:ind w:left="114" w:right="138" w:firstLine="640"/>
        <w:jc w:val="left"/>
        <w:rPr>
          <w:sz w:val="32"/>
        </w:rPr>
      </w:pPr>
      <w:bookmarkStart w:id="17" w:name="（1）与市发展和改革委员会的有关职责分工。市卫生健康委负责开展人口检测预警工作，"/>
      <w:bookmarkEnd w:id="17"/>
      <w:r>
        <w:rPr>
          <w:spacing w:val="1"/>
          <w:w w:val="99"/>
          <w:sz w:val="32"/>
        </w:rPr>
        <w:t>与市发展和改革委员会的有关职责分工。市卫生健康</w:t>
      </w:r>
      <w:r>
        <w:rPr>
          <w:spacing w:val="-8"/>
          <w:w w:val="99"/>
          <w:sz w:val="32"/>
        </w:rPr>
        <w:t>委负责开展人口检测预警工作，实施生育政策，研究提出与生育</w:t>
      </w:r>
      <w:r>
        <w:rPr>
          <w:spacing w:val="-10"/>
          <w:w w:val="99"/>
          <w:sz w:val="32"/>
        </w:rPr>
        <w:t>相关的人口检测预警工作，实施生育政策，研究提出与生育相关</w:t>
      </w:r>
      <w:r>
        <w:rPr>
          <w:spacing w:val="-12"/>
          <w:w w:val="99"/>
          <w:sz w:val="32"/>
        </w:rPr>
        <w:t>的人口数量、素质、结构、分布方面的政策建议，促进生育政策</w:t>
      </w:r>
      <w:r>
        <w:rPr>
          <w:spacing w:val="-2"/>
          <w:w w:val="99"/>
          <w:sz w:val="32"/>
        </w:rPr>
        <w:t>和相关经济社会政策配套衔接，参与制定人口发展规划和政策，</w:t>
      </w:r>
      <w:r>
        <w:rPr>
          <w:spacing w:val="-7"/>
          <w:w w:val="99"/>
          <w:sz w:val="32"/>
        </w:rPr>
        <w:t>落实全市人口发展规划中的有关任务。市发展和改革委员会负责</w:t>
      </w:r>
      <w:r>
        <w:rPr>
          <w:spacing w:val="6"/>
          <w:w w:val="99"/>
          <w:sz w:val="32"/>
        </w:rPr>
        <w:t>组织检测和评估人口变动情况趋势影响，建立人口预测预报制</w:t>
      </w:r>
      <w:r>
        <w:rPr>
          <w:w w:val="99"/>
          <w:sz w:val="32"/>
        </w:rPr>
        <w:t>度，开展重大决策人口影响评估，完善重大人口政策咨询机制，</w:t>
      </w:r>
    </w:p>
    <w:p>
      <w:pPr>
        <w:pStyle w:val="9"/>
        <w:spacing w:after="0" w:line="300" w:lineRule="auto"/>
        <w:jc w:val="left"/>
        <w:rPr>
          <w:sz w:val="32"/>
        </w:rPr>
        <w:sectPr>
          <w:pgSz w:w="11910" w:h="16840"/>
          <w:pgMar w:top="1580" w:right="1275" w:bottom="900" w:left="1417" w:header="0" w:footer="700" w:gutter="0"/>
          <w:cols w:space="720" w:num="1"/>
        </w:sectPr>
      </w:pPr>
    </w:p>
    <w:p>
      <w:pPr>
        <w:pStyle w:val="4"/>
        <w:spacing w:before="23" w:line="300" w:lineRule="auto"/>
        <w:ind w:right="255"/>
        <w:jc w:val="both"/>
      </w:pPr>
      <w:r>
        <w:rPr>
          <w:spacing w:val="-9"/>
        </w:rPr>
        <w:t>研究提出全市人口发展战略，拟订人口发展规划和人口政策，研究提出全市人口发展战略，拟订人口发展规划和人口政策，研究</w:t>
      </w:r>
      <w:r>
        <w:rPr>
          <w:spacing w:val="-6"/>
        </w:rPr>
        <w:t>提出人口与经济、社会、资源、环境协调可持续发展，以及统筹</w:t>
      </w:r>
      <w:r>
        <w:rPr>
          <w:spacing w:val="-2"/>
        </w:rPr>
        <w:t>促进人口长期均衡发展的政策建议。</w:t>
      </w:r>
    </w:p>
    <w:p>
      <w:pPr>
        <w:pStyle w:val="9"/>
        <w:numPr>
          <w:ilvl w:val="0"/>
          <w:numId w:val="2"/>
        </w:numPr>
        <w:tabs>
          <w:tab w:val="left" w:pos="1556"/>
        </w:tabs>
        <w:spacing w:before="140" w:after="0" w:line="300" w:lineRule="auto"/>
        <w:ind w:left="114" w:right="95" w:firstLine="640"/>
        <w:jc w:val="left"/>
        <w:rPr>
          <w:sz w:val="32"/>
        </w:rPr>
      </w:pPr>
      <w:bookmarkStart w:id="18" w:name="（2）与市民政局的有关职责分工。市卫生健康委负责拟订应对人口老龄化、医养结合政策"/>
      <w:bookmarkEnd w:id="18"/>
      <w:r>
        <w:rPr>
          <w:spacing w:val="-2"/>
          <w:sz w:val="32"/>
        </w:rPr>
        <w:t>与市民政局的有关职责分工。市卫生健康委负责拟订应对人口老龄化、医养结合政策措施，综合协调、督促指导、组</w:t>
      </w:r>
      <w:r>
        <w:rPr>
          <w:spacing w:val="-20"/>
          <w:sz w:val="32"/>
        </w:rPr>
        <w:t>织推进老龄健康事业发展，承担老年疾病防治、老年人医疗照护，</w:t>
      </w:r>
      <w:r>
        <w:rPr>
          <w:spacing w:val="-8"/>
          <w:sz w:val="32"/>
        </w:rPr>
        <w:t>老年人心理健康与关怀服务等老年健康工作。市民政局负责统筹</w:t>
      </w:r>
      <w:r>
        <w:rPr>
          <w:spacing w:val="-2"/>
          <w:sz w:val="32"/>
        </w:rPr>
        <w:t>推进、督促指导、监督管理养老服务工作，拟订养老服务体系建设规划、政策、标准并组织实施，承担老年人福利和特殊困难老年人救助工作。</w:t>
      </w:r>
    </w:p>
    <w:p>
      <w:pPr>
        <w:pStyle w:val="9"/>
        <w:numPr>
          <w:ilvl w:val="0"/>
          <w:numId w:val="2"/>
        </w:numPr>
        <w:tabs>
          <w:tab w:val="left" w:pos="1556"/>
        </w:tabs>
        <w:spacing w:before="140" w:after="0" w:line="300" w:lineRule="auto"/>
        <w:ind w:left="114" w:right="255" w:firstLine="640"/>
        <w:jc w:val="both"/>
        <w:rPr>
          <w:sz w:val="32"/>
        </w:rPr>
      </w:pPr>
      <w:bookmarkStart w:id="19" w:name="（3）与市市场监督管理局的有关职责分工。市卫生健康委负责食品安全企业标准备案工作"/>
      <w:bookmarkEnd w:id="19"/>
      <w:r>
        <w:rPr>
          <w:spacing w:val="-2"/>
          <w:sz w:val="32"/>
        </w:rPr>
        <w:t>与市市场监督管理局的有关职责分工。市卫生健康委</w:t>
      </w:r>
      <w:r>
        <w:rPr>
          <w:spacing w:val="-10"/>
          <w:sz w:val="32"/>
        </w:rPr>
        <w:t>负责食品安全企业标准备案工作，会同市市场监督管理局等单位</w:t>
      </w:r>
      <w:r>
        <w:rPr>
          <w:spacing w:val="-13"/>
          <w:sz w:val="32"/>
        </w:rPr>
        <w:t>制定、实施食品安全风险监测计划。市卫生健康委对食品安全风</w:t>
      </w:r>
      <w:r>
        <w:rPr>
          <w:spacing w:val="-2"/>
          <w:sz w:val="32"/>
        </w:rPr>
        <w:t>险监测结果表明可能存在食品安全隐患的相关信息通报市市场</w:t>
      </w:r>
      <w:r>
        <w:rPr>
          <w:spacing w:val="-13"/>
          <w:sz w:val="32"/>
        </w:rPr>
        <w:t>监督管理局等单位，市市场监督管理局等单位组织开展进一步调</w:t>
      </w:r>
      <w:r>
        <w:rPr>
          <w:spacing w:val="-12"/>
          <w:sz w:val="32"/>
        </w:rPr>
        <w:t>查。市市场监督管理局会同市卫生健康委组织执行国家药典，建</w:t>
      </w:r>
      <w:r>
        <w:rPr>
          <w:spacing w:val="-2"/>
          <w:sz w:val="32"/>
        </w:rPr>
        <w:t>立重大药品不良反应和医疗器械不良事件相互通报机制和联合处理机制。</w:t>
      </w:r>
    </w:p>
    <w:p>
      <w:pPr>
        <w:pStyle w:val="9"/>
        <w:numPr>
          <w:ilvl w:val="0"/>
          <w:numId w:val="2"/>
        </w:numPr>
        <w:tabs>
          <w:tab w:val="left" w:pos="1556"/>
        </w:tabs>
        <w:spacing w:before="141" w:after="0" w:line="300" w:lineRule="auto"/>
        <w:ind w:left="114" w:right="254" w:firstLine="640"/>
        <w:jc w:val="both"/>
        <w:rPr>
          <w:sz w:val="32"/>
        </w:rPr>
      </w:pPr>
      <w:bookmarkStart w:id="20" w:name="（4）与市医疗保障局的有关职责分工。两单位在医疗、医保、医药等方面加强制度、政策"/>
      <w:bookmarkEnd w:id="20"/>
      <w:r>
        <w:rPr>
          <w:spacing w:val="-2"/>
          <w:sz w:val="32"/>
        </w:rPr>
        <w:t>与市医疗保障局的有关职责分工。两单位在医疗、医</w:t>
      </w:r>
      <w:r>
        <w:rPr>
          <w:spacing w:val="-6"/>
          <w:sz w:val="32"/>
        </w:rPr>
        <w:t>保、医药等方面加强制度、政策衔接，建立沟通协商机制，协同</w:t>
      </w:r>
      <w:r>
        <w:rPr>
          <w:spacing w:val="-2"/>
          <w:sz w:val="32"/>
        </w:rPr>
        <w:t>推进改革，提高医疗资源使用效率和医疗保障水平。</w:t>
      </w:r>
    </w:p>
    <w:p>
      <w:pPr>
        <w:pStyle w:val="9"/>
        <w:numPr>
          <w:ilvl w:val="0"/>
          <w:numId w:val="2"/>
        </w:numPr>
        <w:tabs>
          <w:tab w:val="left" w:pos="1556"/>
        </w:tabs>
        <w:spacing w:before="204" w:after="0" w:line="345" w:lineRule="auto"/>
        <w:ind w:left="114" w:right="254" w:firstLine="640"/>
        <w:jc w:val="left"/>
        <w:rPr>
          <w:sz w:val="32"/>
        </w:rPr>
      </w:pPr>
      <w:r>
        <w:rPr>
          <w:spacing w:val="-2"/>
          <w:sz w:val="32"/>
        </w:rPr>
        <w:t>与遂宁海关的有关职责分工。市卫生健康委负责全市</w:t>
      </w:r>
      <w:r>
        <w:rPr>
          <w:spacing w:val="-8"/>
          <w:sz w:val="32"/>
        </w:rPr>
        <w:t>传染病总体防治和突发公共卫生事件应急工作，与遂宁海关建立</w:t>
      </w:r>
    </w:p>
    <w:p>
      <w:pPr>
        <w:pStyle w:val="9"/>
        <w:spacing w:after="0" w:line="345" w:lineRule="auto"/>
        <w:jc w:val="left"/>
        <w:rPr>
          <w:sz w:val="32"/>
        </w:rPr>
        <w:sectPr>
          <w:pgSz w:w="11910" w:h="16840"/>
          <w:pgMar w:top="1580" w:right="1275" w:bottom="900" w:left="1417" w:header="0" w:footer="700" w:gutter="0"/>
          <w:cols w:space="720" w:num="1"/>
        </w:sectPr>
      </w:pPr>
    </w:p>
    <w:p>
      <w:pPr>
        <w:pStyle w:val="4"/>
        <w:spacing w:before="28" w:line="345" w:lineRule="auto"/>
        <w:ind w:right="254"/>
        <w:jc w:val="both"/>
        <w:rPr>
          <w:rFonts w:ascii="仿宋" w:eastAsia="仿宋"/>
        </w:rPr>
      </w:pPr>
      <w:r>
        <w:rPr>
          <w:spacing w:val="-7"/>
        </w:rPr>
        <w:t>健全应对口岸传染病疫情和公共卫生事件合作机制，建立和完善</w:t>
      </w:r>
      <w:r>
        <w:rPr>
          <w:spacing w:val="-8"/>
        </w:rPr>
        <w:t>传染病疫情和公共卫生事件通报交流机制，建立口岸输入性疫情</w:t>
      </w:r>
      <w:r>
        <w:rPr>
          <w:rFonts w:ascii="仿宋" w:eastAsia="仿宋"/>
          <w:spacing w:val="-2"/>
        </w:rPr>
        <w:t>的通报和协作处理机制。</w:t>
      </w:r>
    </w:p>
    <w:p>
      <w:pPr>
        <w:pStyle w:val="4"/>
        <w:spacing w:before="105"/>
        <w:ind w:left="0"/>
        <w:rPr>
          <w:rFonts w:ascii="仿宋"/>
        </w:rPr>
      </w:pPr>
    </w:p>
    <w:p>
      <w:pPr>
        <w:pStyle w:val="4"/>
        <w:rPr>
          <w:rFonts w:ascii="黑体" w:eastAsia="黑体"/>
        </w:rPr>
      </w:pPr>
      <w:bookmarkStart w:id="21" w:name="二、机构设置"/>
      <w:bookmarkEnd w:id="21"/>
      <w:r>
        <w:rPr>
          <w:rFonts w:ascii="黑体" w:eastAsia="黑体"/>
          <w:spacing w:val="-5"/>
        </w:rPr>
        <w:t>二、机构设置</w:t>
      </w:r>
    </w:p>
    <w:p>
      <w:pPr>
        <w:pStyle w:val="4"/>
        <w:spacing w:before="51"/>
        <w:ind w:left="0"/>
        <w:rPr>
          <w:rFonts w:ascii="黑体"/>
        </w:rPr>
      </w:pPr>
    </w:p>
    <w:p>
      <w:pPr>
        <w:pStyle w:val="4"/>
        <w:ind w:left="913"/>
        <w:rPr>
          <w:rFonts w:ascii="仿宋" w:eastAsia="仿宋"/>
        </w:rPr>
      </w:pPr>
      <w:r>
        <w:rPr>
          <w:rFonts w:ascii="仿宋" w:eastAsia="仿宋"/>
          <w:spacing w:val="-8"/>
        </w:rPr>
        <w:t xml:space="preserve">遂宁市卫生健康委员会下属二级预算单位 </w:t>
      </w:r>
      <w:r>
        <w:rPr>
          <w:rFonts w:ascii="仿宋" w:eastAsia="仿宋"/>
          <w:spacing w:val="-4"/>
        </w:rPr>
        <w:t>10</w:t>
      </w:r>
      <w:r>
        <w:rPr>
          <w:rFonts w:ascii="仿宋" w:eastAsia="仿宋"/>
          <w:spacing w:val="-31"/>
        </w:rPr>
        <w:t xml:space="preserve"> 个，其中行政</w:t>
      </w:r>
    </w:p>
    <w:p>
      <w:pPr>
        <w:pStyle w:val="4"/>
        <w:spacing w:before="208" w:line="360" w:lineRule="auto"/>
        <w:ind w:right="255"/>
        <w:rPr>
          <w:rFonts w:ascii="仿宋" w:eastAsia="仿宋"/>
        </w:rPr>
      </w:pPr>
      <w:r>
        <w:rPr>
          <w:rFonts w:ascii="仿宋" w:eastAsia="仿宋"/>
          <w:spacing w:val="-28"/>
        </w:rPr>
        <w:t xml:space="preserve">单位 </w:t>
      </w:r>
      <w:r>
        <w:rPr>
          <w:rFonts w:ascii="仿宋" w:eastAsia="仿宋"/>
          <w:spacing w:val="-2"/>
        </w:rPr>
        <w:t>1</w:t>
      </w:r>
      <w:r>
        <w:rPr>
          <w:rFonts w:ascii="仿宋" w:eastAsia="仿宋"/>
          <w:spacing w:val="-15"/>
        </w:rPr>
        <w:t xml:space="preserve"> 个，参照公务员法管理的事业单位 </w:t>
      </w:r>
      <w:r>
        <w:rPr>
          <w:rFonts w:ascii="仿宋" w:eastAsia="仿宋"/>
          <w:spacing w:val="-2"/>
        </w:rPr>
        <w:t>2</w:t>
      </w:r>
      <w:r>
        <w:rPr>
          <w:rFonts w:ascii="仿宋" w:eastAsia="仿宋"/>
          <w:spacing w:val="-19"/>
        </w:rPr>
        <w:t xml:space="preserve"> 个，其他事业单位 </w:t>
      </w:r>
      <w:r>
        <w:rPr>
          <w:rFonts w:ascii="仿宋" w:eastAsia="仿宋"/>
          <w:spacing w:val="-2"/>
        </w:rPr>
        <w:t>8</w:t>
      </w:r>
      <w:r>
        <w:rPr>
          <w:rFonts w:ascii="仿宋" w:eastAsia="仿宋"/>
          <w:spacing w:val="-6"/>
        </w:rPr>
        <w:t>个。</w:t>
      </w:r>
    </w:p>
    <w:p>
      <w:pPr>
        <w:pStyle w:val="4"/>
        <w:spacing w:before="147" w:line="345" w:lineRule="auto"/>
        <w:ind w:right="254" w:firstLine="672"/>
        <w:rPr>
          <w:rFonts w:ascii="仿宋" w:eastAsia="仿宋"/>
        </w:rPr>
      </w:pPr>
      <w:r>
        <w:rPr>
          <w:rFonts w:ascii="仿宋" w:eastAsia="仿宋"/>
          <w:spacing w:val="-7"/>
        </w:rPr>
        <w:t xml:space="preserve">纳入遂宁市卫生健康委员会 </w:t>
      </w:r>
      <w:r>
        <w:rPr>
          <w:rFonts w:ascii="仿宋" w:eastAsia="仿宋"/>
        </w:rPr>
        <w:t>2023</w:t>
      </w:r>
      <w:r>
        <w:rPr>
          <w:rFonts w:ascii="仿宋" w:eastAsia="仿宋"/>
          <w:spacing w:val="-10"/>
        </w:rPr>
        <w:t xml:space="preserve"> 年度部门决算编制范围的</w:t>
      </w:r>
      <w:r>
        <w:rPr>
          <w:rFonts w:ascii="仿宋" w:eastAsia="仿宋"/>
          <w:spacing w:val="-2"/>
        </w:rPr>
        <w:t>二级预算单位包括：</w:t>
      </w:r>
    </w:p>
    <w:p>
      <w:pPr>
        <w:pStyle w:val="9"/>
        <w:numPr>
          <w:ilvl w:val="0"/>
          <w:numId w:val="3"/>
        </w:numPr>
        <w:tabs>
          <w:tab w:val="left" w:pos="1265"/>
        </w:tabs>
        <w:spacing w:before="143" w:after="0" w:line="240" w:lineRule="auto"/>
        <w:ind w:left="1265" w:right="0" w:hanging="479"/>
        <w:jc w:val="left"/>
        <w:rPr>
          <w:sz w:val="32"/>
        </w:rPr>
      </w:pPr>
      <w:bookmarkStart w:id="22" w:name="1.遂宁市疾病预防控制中心"/>
      <w:bookmarkEnd w:id="22"/>
      <w:r>
        <w:rPr>
          <w:spacing w:val="-5"/>
          <w:sz w:val="32"/>
        </w:rPr>
        <w:t>遂宁市疾病预防控制中心</w:t>
      </w:r>
    </w:p>
    <w:p>
      <w:pPr>
        <w:pStyle w:val="9"/>
        <w:numPr>
          <w:ilvl w:val="0"/>
          <w:numId w:val="3"/>
        </w:numPr>
        <w:tabs>
          <w:tab w:val="left" w:pos="1265"/>
        </w:tabs>
        <w:spacing w:before="324" w:after="0" w:line="240" w:lineRule="auto"/>
        <w:ind w:left="1265" w:right="0" w:hanging="479"/>
        <w:jc w:val="left"/>
        <w:rPr>
          <w:sz w:val="32"/>
        </w:rPr>
      </w:pPr>
      <w:r>
        <w:rPr>
          <w:spacing w:val="-5"/>
          <w:sz w:val="32"/>
        </w:rPr>
        <w:t>遂宁市卫生健康综合行政执法支队</w:t>
      </w:r>
    </w:p>
    <w:p>
      <w:pPr>
        <w:pStyle w:val="9"/>
        <w:numPr>
          <w:ilvl w:val="0"/>
          <w:numId w:val="3"/>
        </w:numPr>
        <w:tabs>
          <w:tab w:val="left" w:pos="1265"/>
        </w:tabs>
        <w:spacing w:before="323" w:after="0" w:line="240" w:lineRule="auto"/>
        <w:ind w:left="1265" w:right="0" w:hanging="479"/>
        <w:jc w:val="left"/>
        <w:rPr>
          <w:sz w:val="32"/>
        </w:rPr>
      </w:pPr>
      <w:r>
        <w:rPr>
          <w:spacing w:val="-5"/>
          <w:sz w:val="32"/>
        </w:rPr>
        <w:t>遂宁市紧急医疗救援中心</w:t>
      </w:r>
    </w:p>
    <w:p>
      <w:pPr>
        <w:pStyle w:val="9"/>
        <w:numPr>
          <w:ilvl w:val="0"/>
          <w:numId w:val="3"/>
        </w:numPr>
        <w:tabs>
          <w:tab w:val="left" w:pos="1265"/>
        </w:tabs>
        <w:spacing w:before="325" w:after="0" w:line="240" w:lineRule="auto"/>
        <w:ind w:left="1265" w:right="0" w:hanging="479"/>
        <w:jc w:val="left"/>
        <w:rPr>
          <w:sz w:val="32"/>
        </w:rPr>
      </w:pPr>
      <w:r>
        <w:rPr>
          <w:spacing w:val="-5"/>
          <w:sz w:val="32"/>
        </w:rPr>
        <w:t>遂宁市计划生育协会</w:t>
      </w:r>
    </w:p>
    <w:p>
      <w:pPr>
        <w:pStyle w:val="9"/>
        <w:numPr>
          <w:ilvl w:val="0"/>
          <w:numId w:val="3"/>
        </w:numPr>
        <w:tabs>
          <w:tab w:val="left" w:pos="1265"/>
        </w:tabs>
        <w:spacing w:before="324" w:after="0" w:line="240" w:lineRule="auto"/>
        <w:ind w:left="1265" w:right="0" w:hanging="479"/>
        <w:jc w:val="left"/>
        <w:rPr>
          <w:sz w:val="32"/>
        </w:rPr>
      </w:pPr>
      <w:r>
        <w:rPr>
          <w:spacing w:val="-5"/>
          <w:sz w:val="32"/>
        </w:rPr>
        <w:t>遂宁市中心医院</w:t>
      </w:r>
    </w:p>
    <w:p>
      <w:pPr>
        <w:pStyle w:val="9"/>
        <w:numPr>
          <w:ilvl w:val="0"/>
          <w:numId w:val="3"/>
        </w:numPr>
        <w:tabs>
          <w:tab w:val="left" w:pos="1265"/>
        </w:tabs>
        <w:spacing w:before="323" w:after="0" w:line="240" w:lineRule="auto"/>
        <w:ind w:left="1265" w:right="0" w:hanging="479"/>
        <w:jc w:val="left"/>
        <w:rPr>
          <w:sz w:val="32"/>
        </w:rPr>
      </w:pPr>
      <w:r>
        <w:rPr>
          <w:spacing w:val="-5"/>
          <w:sz w:val="32"/>
        </w:rPr>
        <w:t>遂宁市中医院</w:t>
      </w:r>
    </w:p>
    <w:p>
      <w:pPr>
        <w:pStyle w:val="9"/>
        <w:numPr>
          <w:ilvl w:val="0"/>
          <w:numId w:val="3"/>
        </w:numPr>
        <w:tabs>
          <w:tab w:val="left" w:pos="1265"/>
        </w:tabs>
        <w:spacing w:before="325" w:after="0" w:line="240" w:lineRule="auto"/>
        <w:ind w:left="1265" w:right="0" w:hanging="479"/>
        <w:jc w:val="left"/>
        <w:rPr>
          <w:sz w:val="32"/>
        </w:rPr>
      </w:pPr>
      <w:r>
        <w:rPr>
          <w:spacing w:val="-5"/>
          <w:sz w:val="32"/>
        </w:rPr>
        <w:t>遂宁市第一人民医院</w:t>
      </w:r>
    </w:p>
    <w:p>
      <w:pPr>
        <w:pStyle w:val="9"/>
        <w:numPr>
          <w:ilvl w:val="0"/>
          <w:numId w:val="3"/>
        </w:numPr>
        <w:tabs>
          <w:tab w:val="left" w:pos="1265"/>
        </w:tabs>
        <w:spacing w:before="324" w:after="0" w:line="240" w:lineRule="auto"/>
        <w:ind w:left="1265" w:right="0" w:hanging="479"/>
        <w:jc w:val="left"/>
        <w:rPr>
          <w:sz w:val="32"/>
        </w:rPr>
      </w:pPr>
      <w:r>
        <w:rPr>
          <w:spacing w:val="-5"/>
          <w:sz w:val="32"/>
        </w:rPr>
        <w:t>遂宁市传染病医院</w:t>
      </w:r>
    </w:p>
    <w:p>
      <w:pPr>
        <w:pStyle w:val="9"/>
        <w:numPr>
          <w:ilvl w:val="0"/>
          <w:numId w:val="3"/>
        </w:numPr>
        <w:tabs>
          <w:tab w:val="left" w:pos="1265"/>
        </w:tabs>
        <w:spacing w:before="270" w:after="0" w:line="240" w:lineRule="auto"/>
        <w:ind w:left="1265" w:right="0" w:hanging="479"/>
        <w:jc w:val="left"/>
        <w:rPr>
          <w:sz w:val="32"/>
        </w:rPr>
      </w:pPr>
      <w:r>
        <w:rPr>
          <w:spacing w:val="-5"/>
          <w:sz w:val="32"/>
        </w:rPr>
        <w:t>遂宁市妇幼保健计划生育服务中心</w:t>
      </w:r>
    </w:p>
    <w:p>
      <w:pPr>
        <w:pStyle w:val="9"/>
        <w:spacing w:after="0" w:line="240" w:lineRule="auto"/>
        <w:jc w:val="left"/>
        <w:rPr>
          <w:sz w:val="32"/>
        </w:rPr>
        <w:sectPr>
          <w:pgSz w:w="11910" w:h="16840"/>
          <w:pgMar w:top="1640" w:right="1275" w:bottom="900" w:left="1417" w:header="0" w:footer="700" w:gutter="0"/>
          <w:cols w:space="720" w:num="1"/>
        </w:sectPr>
      </w:pPr>
    </w:p>
    <w:p>
      <w:pPr>
        <w:pStyle w:val="2"/>
        <w:spacing w:before="14"/>
        <w:ind w:left="786" w:right="0"/>
        <w:jc w:val="both"/>
      </w:pPr>
      <w:r>
        <w:rPr>
          <w:spacing w:val="-7"/>
        </w:rPr>
        <w:t xml:space="preserve">第二部分 </w:t>
      </w:r>
      <w:r>
        <w:rPr>
          <w:spacing w:val="-2"/>
        </w:rPr>
        <w:t>2023</w:t>
      </w:r>
      <w:r>
        <w:rPr>
          <w:spacing w:val="-16"/>
        </w:rPr>
        <w:t xml:space="preserve"> 年度部门决算情况说明</w:t>
      </w:r>
    </w:p>
    <w:p>
      <w:pPr>
        <w:pStyle w:val="4"/>
        <w:spacing w:before="498"/>
        <w:ind w:left="755"/>
        <w:jc w:val="both"/>
        <w:rPr>
          <w:rFonts w:ascii="黑体" w:eastAsia="黑体"/>
        </w:rPr>
      </w:pPr>
      <w:r>
        <w:rPr>
          <w:rFonts w:ascii="黑体" w:eastAsia="黑体"/>
          <w:spacing w:val="-12"/>
        </w:rPr>
        <w:t>一、 收入支出决算总体情况说明</w:t>
      </w:r>
    </w:p>
    <w:p>
      <w:pPr>
        <w:pStyle w:val="4"/>
        <w:spacing w:before="184" w:line="345" w:lineRule="auto"/>
        <w:ind w:right="255" w:firstLine="640"/>
        <w:jc w:val="both"/>
        <w:rPr>
          <w:rFonts w:ascii="仿宋" w:eastAsia="仿宋"/>
        </w:rPr>
      </w:pPr>
      <w:r>
        <w:rPr>
          <w:rFonts w:ascii="仿宋" w:eastAsia="仿宋"/>
          <w:spacing w:val="-10"/>
        </w:rPr>
        <w:t>2023</w:t>
      </w:r>
      <w:r>
        <w:rPr>
          <w:rFonts w:ascii="仿宋" w:eastAsia="仿宋"/>
          <w:spacing w:val="-17"/>
        </w:rPr>
        <w:t xml:space="preserve"> 年度收、支总计均为 </w:t>
      </w:r>
      <w:r>
        <w:rPr>
          <w:rFonts w:ascii="仿宋" w:eastAsia="仿宋"/>
          <w:spacing w:val="-10"/>
        </w:rPr>
        <w:t>367317.14</w:t>
      </w:r>
      <w:r>
        <w:rPr>
          <w:rFonts w:ascii="仿宋" w:eastAsia="仿宋"/>
          <w:spacing w:val="-18"/>
        </w:rPr>
        <w:t xml:space="preserve"> 万元。与 </w:t>
      </w:r>
      <w:r>
        <w:rPr>
          <w:rFonts w:ascii="仿宋" w:eastAsia="仿宋"/>
          <w:spacing w:val="-10"/>
        </w:rPr>
        <w:t>2022</w:t>
      </w:r>
      <w:r>
        <w:rPr>
          <w:rFonts w:ascii="仿宋" w:eastAsia="仿宋"/>
          <w:spacing w:val="-16"/>
        </w:rPr>
        <w:t xml:space="preserve"> 年度相</w:t>
      </w:r>
      <w:r>
        <w:rPr>
          <w:rFonts w:ascii="仿宋" w:eastAsia="仿宋"/>
          <w:spacing w:val="-5"/>
        </w:rPr>
        <w:t xml:space="preserve">比，收、支总计各减少 </w:t>
      </w:r>
      <w:r>
        <w:rPr>
          <w:rFonts w:ascii="仿宋" w:eastAsia="仿宋"/>
          <w:spacing w:val="-2"/>
        </w:rPr>
        <w:t>7882.77</w:t>
      </w:r>
      <w:r>
        <w:rPr>
          <w:rFonts w:ascii="仿宋" w:eastAsia="仿宋"/>
          <w:spacing w:val="-11"/>
        </w:rPr>
        <w:t xml:space="preserve"> 万元，下降 </w:t>
      </w:r>
      <w:r>
        <w:rPr>
          <w:rFonts w:ascii="仿宋" w:eastAsia="仿宋"/>
          <w:spacing w:val="-2"/>
        </w:rPr>
        <w:t>2.1%。主要变动原因是疫情结束防疫相关物资经费支出减少。</w:t>
      </w:r>
    </w:p>
    <w:p>
      <w:pPr>
        <w:pStyle w:val="4"/>
        <w:spacing w:before="3"/>
        <w:ind w:left="755"/>
        <w:jc w:val="both"/>
        <w:rPr>
          <w:rFonts w:ascii="仿宋" w:eastAsia="仿宋"/>
        </w:rPr>
      </w:pPr>
      <w:r>
        <w:rPr>
          <w:rFonts w:ascii="仿宋" w:eastAsia="仿宋"/>
          <w:spacing w:val="-4"/>
        </w:rPr>
        <w:t>（</w:t>
      </w:r>
      <w:r>
        <w:rPr>
          <w:rFonts w:ascii="仿宋" w:eastAsia="仿宋"/>
          <w:spacing w:val="-32"/>
        </w:rPr>
        <w:t xml:space="preserve">图 </w:t>
      </w:r>
      <w:r>
        <w:rPr>
          <w:rFonts w:ascii="仿宋" w:eastAsia="仿宋"/>
          <w:spacing w:val="-4"/>
        </w:rPr>
        <w:t>1：收、支决算总计变动情况图</w:t>
      </w:r>
      <w:r>
        <w:rPr>
          <w:rFonts w:ascii="仿宋" w:eastAsia="仿宋"/>
          <w:spacing w:val="-161"/>
        </w:rPr>
        <w:t>）</w:t>
      </w:r>
      <w:r>
        <w:rPr>
          <w:rFonts w:ascii="仿宋" w:eastAsia="仿宋"/>
        </w:rPr>
        <w:t>（</w:t>
      </w:r>
      <w:r>
        <w:rPr>
          <w:rFonts w:ascii="仿宋" w:eastAsia="仿宋"/>
          <w:spacing w:val="-4"/>
        </w:rPr>
        <w:t>柱状图</w:t>
      </w:r>
      <w:r>
        <w:rPr>
          <w:rFonts w:ascii="仿宋" w:eastAsia="仿宋"/>
          <w:spacing w:val="-10"/>
        </w:rPr>
        <w:t>）</w:t>
      </w:r>
    </w:p>
    <w:p>
      <w:pPr>
        <w:pStyle w:val="4"/>
        <w:ind w:left="0"/>
        <w:rPr>
          <w:rFonts w:ascii="仿宋"/>
          <w:sz w:val="20"/>
        </w:rPr>
      </w:pPr>
    </w:p>
    <w:p>
      <w:pPr>
        <w:pStyle w:val="4"/>
        <w:spacing w:before="66"/>
        <w:ind w:left="0"/>
        <w:rPr>
          <w:rFonts w:ascii="仿宋"/>
          <w:sz w:val="20"/>
        </w:rPr>
      </w:pPr>
      <w:r>
        <w:rPr>
          <w:rFonts w:ascii="仿宋"/>
          <w:sz w:val="20"/>
        </w:rPr>
        <w:drawing>
          <wp:anchor distT="0" distB="0" distL="0" distR="0" simplePos="0" relativeHeight="251663360" behindDoc="1" locked="0" layoutInCell="1" allowOverlap="1">
            <wp:simplePos x="0" y="0"/>
            <wp:positionH relativeFrom="page">
              <wp:posOffset>1005840</wp:posOffset>
            </wp:positionH>
            <wp:positionV relativeFrom="paragraph">
              <wp:posOffset>222250</wp:posOffset>
            </wp:positionV>
            <wp:extent cx="3440430" cy="2770505"/>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3440701" cy="2770631"/>
                    </a:xfrm>
                    <a:prstGeom prst="rect">
                      <a:avLst/>
                    </a:prstGeom>
                  </pic:spPr>
                </pic:pic>
              </a:graphicData>
            </a:graphic>
          </wp:anchor>
        </w:drawing>
      </w:r>
    </w:p>
    <w:p>
      <w:pPr>
        <w:pStyle w:val="4"/>
        <w:ind w:left="0"/>
        <w:rPr>
          <w:rFonts w:ascii="仿宋"/>
        </w:rPr>
      </w:pPr>
    </w:p>
    <w:p>
      <w:pPr>
        <w:pStyle w:val="4"/>
        <w:spacing w:before="73"/>
        <w:ind w:left="0"/>
        <w:rPr>
          <w:rFonts w:ascii="仿宋"/>
        </w:rPr>
      </w:pPr>
    </w:p>
    <w:p>
      <w:pPr>
        <w:pStyle w:val="4"/>
        <w:ind w:left="755"/>
        <w:rPr>
          <w:rFonts w:ascii="黑体" w:eastAsia="黑体"/>
        </w:rPr>
      </w:pPr>
      <w:r>
        <w:rPr>
          <w:rFonts w:ascii="黑体" w:eastAsia="黑体"/>
          <w:spacing w:val="-13"/>
        </w:rPr>
        <w:t>二、 收入决算情况说明</w:t>
      </w:r>
    </w:p>
    <w:p>
      <w:pPr>
        <w:pStyle w:val="4"/>
        <w:spacing w:before="184" w:line="345" w:lineRule="auto"/>
        <w:ind w:right="254" w:firstLine="640"/>
        <w:jc w:val="both"/>
        <w:rPr>
          <w:rFonts w:ascii="仿宋" w:eastAsia="仿宋"/>
        </w:rPr>
      </w:pPr>
      <w:bookmarkStart w:id="23" w:name="2023年度本年收入合计354172.28万元，其中：一般公共预算财政拨款收入2"/>
      <w:bookmarkEnd w:id="23"/>
      <w:r>
        <w:rPr>
          <w:rFonts w:ascii="仿宋" w:eastAsia="仿宋"/>
          <w:spacing w:val="-2"/>
        </w:rPr>
        <w:t>2023</w:t>
      </w:r>
      <w:r>
        <w:rPr>
          <w:rFonts w:ascii="仿宋" w:eastAsia="仿宋"/>
          <w:spacing w:val="-10"/>
        </w:rPr>
        <w:t xml:space="preserve"> 年度本年收入合计 </w:t>
      </w:r>
      <w:r>
        <w:rPr>
          <w:rFonts w:ascii="仿宋" w:eastAsia="仿宋"/>
          <w:spacing w:val="-2"/>
        </w:rPr>
        <w:t>354172.28</w:t>
      </w:r>
      <w:r>
        <w:rPr>
          <w:rFonts w:ascii="仿宋" w:eastAsia="仿宋"/>
          <w:spacing w:val="-8"/>
        </w:rPr>
        <w:t xml:space="preserve"> 万元，其中：一般公共</w:t>
      </w:r>
      <w:r>
        <w:rPr>
          <w:rFonts w:ascii="仿宋" w:eastAsia="仿宋"/>
          <w:spacing w:val="-6"/>
        </w:rPr>
        <w:t xml:space="preserve">预算财政拨款收入 </w:t>
      </w:r>
      <w:r>
        <w:rPr>
          <w:rFonts w:ascii="仿宋" w:eastAsia="仿宋"/>
          <w:spacing w:val="-2"/>
        </w:rPr>
        <w:t>24557.69</w:t>
      </w:r>
      <w:r>
        <w:rPr>
          <w:rFonts w:ascii="仿宋" w:eastAsia="仿宋"/>
          <w:spacing w:val="-12"/>
        </w:rPr>
        <w:t xml:space="preserve"> 万元，占 </w:t>
      </w:r>
      <w:r>
        <w:rPr>
          <w:rFonts w:ascii="仿宋" w:eastAsia="仿宋"/>
          <w:spacing w:val="-2"/>
        </w:rPr>
        <w:t>6.93%；政府性基金预算</w:t>
      </w:r>
      <w:r>
        <w:rPr>
          <w:rFonts w:ascii="仿宋" w:eastAsia="仿宋"/>
          <w:spacing w:val="-6"/>
        </w:rPr>
        <w:t xml:space="preserve">财政拨款收入 </w:t>
      </w:r>
      <w:r>
        <w:rPr>
          <w:rFonts w:ascii="仿宋" w:eastAsia="仿宋"/>
          <w:spacing w:val="-2"/>
        </w:rPr>
        <w:t>2000</w:t>
      </w:r>
      <w:r>
        <w:rPr>
          <w:rFonts w:ascii="仿宋" w:eastAsia="仿宋"/>
          <w:spacing w:val="-13"/>
        </w:rPr>
        <w:t xml:space="preserve"> 万元，占 </w:t>
      </w:r>
      <w:r>
        <w:rPr>
          <w:rFonts w:ascii="仿宋" w:eastAsia="仿宋"/>
          <w:spacing w:val="-2"/>
        </w:rPr>
        <w:t>0.56%；国有资本经营预算财政拨</w:t>
      </w:r>
      <w:r>
        <w:rPr>
          <w:rFonts w:ascii="仿宋" w:eastAsia="仿宋"/>
          <w:spacing w:val="-15"/>
        </w:rPr>
        <w:t xml:space="preserve">款收入 </w:t>
      </w:r>
      <w:r>
        <w:rPr>
          <w:rFonts w:ascii="仿宋" w:eastAsia="仿宋"/>
          <w:spacing w:val="-10"/>
        </w:rPr>
        <w:t>0</w:t>
      </w:r>
      <w:r>
        <w:rPr>
          <w:rFonts w:ascii="仿宋" w:eastAsia="仿宋"/>
          <w:spacing w:val="-18"/>
        </w:rPr>
        <w:t xml:space="preserve"> 万元，占 </w:t>
      </w:r>
      <w:r>
        <w:rPr>
          <w:rFonts w:ascii="仿宋" w:eastAsia="仿宋"/>
          <w:spacing w:val="-10"/>
        </w:rPr>
        <w:t>0</w:t>
      </w:r>
      <w:r>
        <w:rPr>
          <w:rFonts w:ascii="仿宋" w:eastAsia="仿宋"/>
          <w:spacing w:val="-13"/>
        </w:rPr>
        <w:t xml:space="preserve">%；上级补助收入 </w:t>
      </w:r>
      <w:r>
        <w:rPr>
          <w:rFonts w:ascii="仿宋" w:eastAsia="仿宋"/>
          <w:spacing w:val="-10"/>
        </w:rPr>
        <w:t>0</w:t>
      </w:r>
      <w:r>
        <w:rPr>
          <w:rFonts w:ascii="仿宋" w:eastAsia="仿宋"/>
          <w:spacing w:val="-18"/>
        </w:rPr>
        <w:t xml:space="preserve"> 万元，占 </w:t>
      </w:r>
      <w:r>
        <w:rPr>
          <w:rFonts w:ascii="仿宋" w:eastAsia="仿宋"/>
          <w:spacing w:val="-10"/>
        </w:rPr>
        <w:t xml:space="preserve">0%；事业收入 </w:t>
      </w:r>
      <w:r>
        <w:rPr>
          <w:rFonts w:ascii="仿宋" w:eastAsia="仿宋"/>
        </w:rPr>
        <w:t>285406.98</w:t>
      </w:r>
      <w:r>
        <w:rPr>
          <w:rFonts w:ascii="仿宋" w:eastAsia="仿宋"/>
          <w:spacing w:val="-25"/>
        </w:rPr>
        <w:t xml:space="preserve"> 万元，占 </w:t>
      </w:r>
      <w:r>
        <w:rPr>
          <w:rFonts w:ascii="仿宋" w:eastAsia="仿宋"/>
        </w:rPr>
        <w:t>80.58</w:t>
      </w:r>
      <w:r>
        <w:rPr>
          <w:rFonts w:ascii="仿宋" w:eastAsia="仿宋"/>
          <w:spacing w:val="-10"/>
        </w:rPr>
        <w:t xml:space="preserve">%；经营收入 </w:t>
      </w:r>
      <w:r>
        <w:rPr>
          <w:rFonts w:ascii="仿宋" w:eastAsia="仿宋"/>
        </w:rPr>
        <w:t>0</w:t>
      </w:r>
      <w:r>
        <w:rPr>
          <w:rFonts w:ascii="仿宋" w:eastAsia="仿宋"/>
          <w:spacing w:val="-24"/>
        </w:rPr>
        <w:t xml:space="preserve"> 万元，占 </w:t>
      </w:r>
      <w:r>
        <w:rPr>
          <w:rFonts w:ascii="仿宋" w:eastAsia="仿宋"/>
        </w:rPr>
        <w:t>0</w:t>
      </w:r>
      <w:r>
        <w:rPr>
          <w:rFonts w:ascii="仿宋" w:eastAsia="仿宋"/>
          <w:spacing w:val="-2"/>
        </w:rPr>
        <w:t>%；附属单</w:t>
      </w:r>
    </w:p>
    <w:p>
      <w:pPr>
        <w:pStyle w:val="4"/>
        <w:spacing w:after="0" w:line="345" w:lineRule="auto"/>
        <w:jc w:val="both"/>
        <w:rPr>
          <w:rFonts w:ascii="仿宋" w:eastAsia="仿宋"/>
        </w:rPr>
        <w:sectPr>
          <w:pgSz w:w="11910" w:h="16840"/>
          <w:pgMar w:top="1520" w:right="1275" w:bottom="900" w:left="1417" w:header="0" w:footer="700" w:gutter="0"/>
          <w:cols w:space="720" w:num="1"/>
        </w:sectPr>
      </w:pPr>
    </w:p>
    <w:p>
      <w:pPr>
        <w:pStyle w:val="4"/>
        <w:spacing w:before="28"/>
        <w:rPr>
          <w:rFonts w:ascii="仿宋" w:eastAsia="仿宋"/>
        </w:rPr>
      </w:pPr>
      <w:r>
        <w:rPr>
          <w:rFonts w:ascii="仿宋" w:eastAsia="仿宋"/>
          <w:spacing w:val="-18"/>
        </w:rPr>
        <w:t xml:space="preserve">位上缴收入 </w:t>
      </w:r>
      <w:r>
        <w:rPr>
          <w:rFonts w:ascii="仿宋" w:eastAsia="仿宋"/>
          <w:spacing w:val="-6"/>
        </w:rPr>
        <w:t>0</w:t>
      </w:r>
      <w:r>
        <w:rPr>
          <w:rFonts w:ascii="仿宋" w:eastAsia="仿宋"/>
          <w:spacing w:val="-31"/>
        </w:rPr>
        <w:t xml:space="preserve"> 万元，占 </w:t>
      </w:r>
      <w:r>
        <w:rPr>
          <w:rFonts w:ascii="仿宋" w:eastAsia="仿宋"/>
          <w:spacing w:val="-6"/>
        </w:rPr>
        <w:t>0%</w:t>
      </w:r>
      <w:r>
        <w:rPr>
          <w:rFonts w:ascii="仿宋" w:eastAsia="仿宋"/>
          <w:spacing w:val="-18"/>
        </w:rPr>
        <w:t xml:space="preserve">；其他收入 </w:t>
      </w:r>
      <w:r>
        <w:rPr>
          <w:rFonts w:ascii="仿宋" w:eastAsia="仿宋"/>
          <w:spacing w:val="-6"/>
        </w:rPr>
        <w:t>42207.6</w:t>
      </w:r>
      <w:r>
        <w:rPr>
          <w:rFonts w:ascii="仿宋" w:eastAsia="仿宋"/>
          <w:spacing w:val="-31"/>
        </w:rPr>
        <w:t xml:space="preserve"> 万元，占 </w:t>
      </w:r>
      <w:r>
        <w:rPr>
          <w:rFonts w:ascii="仿宋" w:eastAsia="仿宋"/>
          <w:spacing w:val="-6"/>
        </w:rPr>
        <w:t>11.92</w:t>
      </w:r>
      <w:r>
        <w:rPr>
          <w:rFonts w:ascii="仿宋" w:eastAsia="仿宋"/>
          <w:spacing w:val="-8"/>
        </w:rPr>
        <w:t>%。</w:t>
      </w:r>
    </w:p>
    <w:p>
      <w:pPr>
        <w:pStyle w:val="4"/>
        <w:spacing w:before="184"/>
        <w:ind w:left="755"/>
        <w:rPr>
          <w:rFonts w:ascii="仿宋" w:eastAsia="仿宋"/>
        </w:rPr>
      </w:pPr>
      <w:r>
        <w:rPr>
          <w:rFonts w:ascii="仿宋" w:eastAsia="仿宋"/>
          <w:spacing w:val="-4"/>
        </w:rPr>
        <w:t>（</w:t>
      </w:r>
      <w:r>
        <w:rPr>
          <w:rFonts w:ascii="仿宋" w:eastAsia="仿宋"/>
          <w:spacing w:val="-36"/>
        </w:rPr>
        <w:t xml:space="preserve">图 </w:t>
      </w:r>
      <w:r>
        <w:rPr>
          <w:rFonts w:ascii="仿宋" w:eastAsia="仿宋"/>
          <w:spacing w:val="-4"/>
        </w:rPr>
        <w:t>2：收入决算结构图</w:t>
      </w:r>
      <w:r>
        <w:rPr>
          <w:rFonts w:ascii="仿宋" w:eastAsia="仿宋"/>
          <w:spacing w:val="-159"/>
        </w:rPr>
        <w:t>）</w:t>
      </w:r>
      <w:r>
        <w:rPr>
          <w:rFonts w:ascii="仿宋" w:eastAsia="仿宋"/>
        </w:rPr>
        <w:t>（</w:t>
      </w:r>
      <w:r>
        <w:rPr>
          <w:rFonts w:ascii="仿宋" w:eastAsia="仿宋"/>
          <w:spacing w:val="-4"/>
        </w:rPr>
        <w:t>饼状图</w:t>
      </w:r>
      <w:r>
        <w:rPr>
          <w:rFonts w:ascii="仿宋" w:eastAsia="仿宋"/>
          <w:spacing w:val="-10"/>
        </w:rPr>
        <w:t>）</w:t>
      </w:r>
    </w:p>
    <w:p>
      <w:pPr>
        <w:pStyle w:val="4"/>
        <w:spacing w:before="207"/>
        <w:ind w:left="0"/>
        <w:rPr>
          <w:rFonts w:ascii="仿宋"/>
          <w:sz w:val="20"/>
        </w:rPr>
      </w:pPr>
      <w:r>
        <w:rPr>
          <w:rFonts w:ascii="仿宋"/>
          <w:sz w:val="20"/>
        </w:rPr>
        <w:drawing>
          <wp:anchor distT="0" distB="0" distL="0" distR="0" simplePos="0" relativeHeight="251663360" behindDoc="1" locked="0" layoutInCell="1" allowOverlap="1">
            <wp:simplePos x="0" y="0"/>
            <wp:positionH relativeFrom="page">
              <wp:posOffset>1001395</wp:posOffset>
            </wp:positionH>
            <wp:positionV relativeFrom="paragraph">
              <wp:posOffset>311785</wp:posOffset>
            </wp:positionV>
            <wp:extent cx="4229100" cy="2487295"/>
            <wp:effectExtent l="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4228858" cy="2487358"/>
                    </a:xfrm>
                    <a:prstGeom prst="rect">
                      <a:avLst/>
                    </a:prstGeom>
                  </pic:spPr>
                </pic:pic>
              </a:graphicData>
            </a:graphic>
          </wp:anchor>
        </w:drawing>
      </w:r>
    </w:p>
    <w:p>
      <w:pPr>
        <w:pStyle w:val="4"/>
        <w:ind w:left="0"/>
        <w:rPr>
          <w:rFonts w:ascii="仿宋"/>
        </w:rPr>
      </w:pPr>
    </w:p>
    <w:p>
      <w:pPr>
        <w:pStyle w:val="4"/>
        <w:spacing w:before="15"/>
        <w:ind w:left="0"/>
        <w:rPr>
          <w:rFonts w:ascii="仿宋"/>
        </w:rPr>
      </w:pPr>
    </w:p>
    <w:p>
      <w:pPr>
        <w:pStyle w:val="4"/>
        <w:ind w:left="755"/>
        <w:rPr>
          <w:rFonts w:ascii="黑体" w:eastAsia="黑体"/>
        </w:rPr>
      </w:pPr>
      <w:r>
        <w:rPr>
          <w:rFonts w:ascii="黑体" w:eastAsia="黑体"/>
          <w:spacing w:val="-13"/>
        </w:rPr>
        <w:t>三、 支出决算情况说明</w:t>
      </w:r>
    </w:p>
    <w:p>
      <w:pPr>
        <w:pStyle w:val="4"/>
        <w:spacing w:before="184"/>
        <w:ind w:left="755"/>
        <w:rPr>
          <w:rFonts w:ascii="仿宋" w:eastAsia="仿宋"/>
        </w:rPr>
      </w:pPr>
      <w:bookmarkStart w:id="24" w:name="2023年度本年支出合计367310.2万元，其中：基本支出337422.9万元"/>
      <w:bookmarkEnd w:id="24"/>
      <w:r>
        <w:rPr>
          <w:rFonts w:ascii="仿宋" w:eastAsia="仿宋"/>
        </w:rPr>
        <w:t>2023</w:t>
      </w:r>
      <w:r>
        <w:rPr>
          <w:rFonts w:ascii="仿宋" w:eastAsia="仿宋"/>
          <w:spacing w:val="-7"/>
        </w:rPr>
        <w:t xml:space="preserve"> 年度本年支出合计 </w:t>
      </w:r>
      <w:r>
        <w:rPr>
          <w:rFonts w:ascii="仿宋" w:eastAsia="仿宋"/>
        </w:rPr>
        <w:t>367310.2 万元，其中：基本支出</w:t>
      </w:r>
    </w:p>
    <w:p>
      <w:pPr>
        <w:pStyle w:val="4"/>
        <w:spacing w:before="184" w:line="345" w:lineRule="auto"/>
        <w:ind w:right="95"/>
        <w:rPr>
          <w:rFonts w:ascii="仿宋" w:eastAsia="仿宋"/>
        </w:rPr>
      </w:pPr>
      <w:r>
        <w:rPr>
          <w:rFonts w:ascii="仿宋" w:eastAsia="仿宋"/>
          <w:spacing w:val="-2"/>
        </w:rPr>
        <w:t>337422.9</w:t>
      </w:r>
      <w:r>
        <w:rPr>
          <w:rFonts w:ascii="仿宋" w:eastAsia="仿宋"/>
          <w:spacing w:val="-29"/>
        </w:rPr>
        <w:t xml:space="preserve"> 万元，占 </w:t>
      </w:r>
      <w:r>
        <w:rPr>
          <w:rFonts w:ascii="仿宋" w:eastAsia="仿宋"/>
          <w:spacing w:val="-2"/>
        </w:rPr>
        <w:t>91.86</w:t>
      </w:r>
      <w:r>
        <w:rPr>
          <w:rFonts w:ascii="仿宋" w:eastAsia="仿宋"/>
          <w:spacing w:val="-14"/>
        </w:rPr>
        <w:t xml:space="preserve">%；项目支出 </w:t>
      </w:r>
      <w:r>
        <w:rPr>
          <w:rFonts w:ascii="仿宋" w:eastAsia="仿宋"/>
          <w:spacing w:val="-2"/>
        </w:rPr>
        <w:t>29867.3</w:t>
      </w:r>
      <w:r>
        <w:rPr>
          <w:rFonts w:ascii="仿宋" w:eastAsia="仿宋"/>
          <w:spacing w:val="-28"/>
        </w:rPr>
        <w:t xml:space="preserve"> 万元，占 </w:t>
      </w:r>
      <w:r>
        <w:rPr>
          <w:rFonts w:ascii="仿宋" w:eastAsia="仿宋"/>
          <w:spacing w:val="-2"/>
        </w:rPr>
        <w:t>8.13%；</w:t>
      </w:r>
      <w:r>
        <w:rPr>
          <w:rFonts w:ascii="仿宋" w:eastAsia="仿宋"/>
          <w:spacing w:val="-8"/>
        </w:rPr>
        <w:t xml:space="preserve">上缴上级支出 </w:t>
      </w:r>
      <w:r>
        <w:rPr>
          <w:rFonts w:ascii="仿宋" w:eastAsia="仿宋"/>
        </w:rPr>
        <w:t>0</w:t>
      </w:r>
      <w:r>
        <w:rPr>
          <w:rFonts w:ascii="仿宋" w:eastAsia="仿宋"/>
          <w:spacing w:val="-19"/>
        </w:rPr>
        <w:t xml:space="preserve"> 万元，占 </w:t>
      </w:r>
      <w:r>
        <w:rPr>
          <w:rFonts w:ascii="仿宋" w:eastAsia="仿宋"/>
        </w:rPr>
        <w:t>0</w:t>
      </w:r>
      <w:r>
        <w:rPr>
          <w:rFonts w:ascii="仿宋" w:eastAsia="仿宋"/>
          <w:spacing w:val="-8"/>
        </w:rPr>
        <w:t xml:space="preserve">%；经营支出 </w:t>
      </w:r>
      <w:r>
        <w:rPr>
          <w:rFonts w:ascii="仿宋" w:eastAsia="仿宋"/>
        </w:rPr>
        <w:t>0</w:t>
      </w:r>
      <w:r>
        <w:rPr>
          <w:rFonts w:ascii="仿宋" w:eastAsia="仿宋"/>
          <w:spacing w:val="-19"/>
        </w:rPr>
        <w:t xml:space="preserve"> 万元，占 </w:t>
      </w:r>
      <w:r>
        <w:rPr>
          <w:rFonts w:ascii="仿宋" w:eastAsia="仿宋"/>
        </w:rPr>
        <w:t>0%；对附属</w:t>
      </w:r>
      <w:r>
        <w:rPr>
          <w:rFonts w:ascii="仿宋" w:eastAsia="仿宋"/>
          <w:spacing w:val="-5"/>
        </w:rPr>
        <w:t xml:space="preserve">单位补助支出 </w:t>
      </w:r>
      <w:r>
        <w:rPr>
          <w:rFonts w:ascii="仿宋" w:eastAsia="仿宋"/>
        </w:rPr>
        <w:t>0</w:t>
      </w:r>
      <w:r>
        <w:rPr>
          <w:rFonts w:ascii="仿宋" w:eastAsia="仿宋"/>
          <w:spacing w:val="-11"/>
        </w:rPr>
        <w:t xml:space="preserve"> 万元，占 </w:t>
      </w:r>
      <w:r>
        <w:rPr>
          <w:rFonts w:ascii="仿宋" w:eastAsia="仿宋"/>
        </w:rPr>
        <w:t>0%。</w:t>
      </w:r>
    </w:p>
    <w:p>
      <w:pPr>
        <w:pStyle w:val="4"/>
        <w:spacing w:before="3"/>
        <w:ind w:left="755"/>
        <w:rPr>
          <w:rFonts w:ascii="仿宋" w:eastAsia="仿宋"/>
        </w:rPr>
      </w:pPr>
      <w:r>
        <w:rPr>
          <w:rFonts w:ascii="仿宋" w:eastAsia="仿宋"/>
          <w:spacing w:val="-4"/>
        </w:rPr>
        <w:t>（</w:t>
      </w:r>
      <w:r>
        <w:rPr>
          <w:rFonts w:ascii="仿宋" w:eastAsia="仿宋"/>
          <w:spacing w:val="-36"/>
        </w:rPr>
        <w:t xml:space="preserve">图 </w:t>
      </w:r>
      <w:r>
        <w:rPr>
          <w:rFonts w:ascii="仿宋" w:eastAsia="仿宋"/>
          <w:spacing w:val="-4"/>
        </w:rPr>
        <w:t>3：支出决算结构图</w:t>
      </w:r>
      <w:r>
        <w:rPr>
          <w:rFonts w:ascii="仿宋" w:eastAsia="仿宋"/>
          <w:spacing w:val="-159"/>
        </w:rPr>
        <w:t>）</w:t>
      </w:r>
      <w:r>
        <w:rPr>
          <w:rFonts w:ascii="仿宋" w:eastAsia="仿宋"/>
        </w:rPr>
        <w:t>（</w:t>
      </w:r>
      <w:r>
        <w:rPr>
          <w:rFonts w:ascii="仿宋" w:eastAsia="仿宋"/>
          <w:spacing w:val="-4"/>
        </w:rPr>
        <w:t>饼状图</w:t>
      </w:r>
      <w:r>
        <w:rPr>
          <w:rFonts w:ascii="仿宋" w:eastAsia="仿宋"/>
          <w:spacing w:val="-10"/>
        </w:rPr>
        <w:t>）</w:t>
      </w:r>
    </w:p>
    <w:p>
      <w:pPr>
        <w:pStyle w:val="4"/>
        <w:spacing w:after="0"/>
        <w:rPr>
          <w:rFonts w:ascii="仿宋" w:eastAsia="仿宋"/>
        </w:rPr>
        <w:sectPr>
          <w:pgSz w:w="11910" w:h="16840"/>
          <w:pgMar w:top="1640" w:right="1275" w:bottom="900" w:left="1417" w:header="0" w:footer="700" w:gutter="0"/>
          <w:cols w:space="720" w:num="1"/>
        </w:sectPr>
      </w:pPr>
    </w:p>
    <w:p>
      <w:pPr>
        <w:pStyle w:val="4"/>
        <w:ind w:left="167"/>
        <w:rPr>
          <w:rFonts w:ascii="仿宋"/>
          <w:sz w:val="20"/>
        </w:rPr>
      </w:pPr>
      <w:r>
        <w:rPr>
          <w:rFonts w:ascii="仿宋"/>
          <w:sz w:val="20"/>
        </w:rPr>
        <w:drawing>
          <wp:inline distT="0" distB="0" distL="0" distR="0">
            <wp:extent cx="3245485" cy="2760345"/>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9" cstate="print"/>
                    <a:stretch>
                      <a:fillRect/>
                    </a:stretch>
                  </pic:blipFill>
                  <pic:spPr>
                    <a:xfrm>
                      <a:off x="0" y="0"/>
                      <a:ext cx="3245772" cy="2760821"/>
                    </a:xfrm>
                    <a:prstGeom prst="rect">
                      <a:avLst/>
                    </a:prstGeom>
                  </pic:spPr>
                </pic:pic>
              </a:graphicData>
            </a:graphic>
          </wp:inline>
        </w:drawing>
      </w:r>
    </w:p>
    <w:p>
      <w:pPr>
        <w:pStyle w:val="4"/>
        <w:spacing w:before="122"/>
        <w:ind w:left="0"/>
        <w:rPr>
          <w:rFonts w:ascii="仿宋"/>
        </w:rPr>
      </w:pPr>
    </w:p>
    <w:p>
      <w:pPr>
        <w:pStyle w:val="4"/>
        <w:ind w:left="755"/>
        <w:rPr>
          <w:rFonts w:ascii="黑体" w:eastAsia="黑体"/>
        </w:rPr>
      </w:pPr>
      <w:bookmarkStart w:id="25" w:name="四、财政拨款收入支出决算总体情况说明"/>
      <w:bookmarkEnd w:id="25"/>
      <w:r>
        <w:rPr>
          <w:rFonts w:ascii="黑体" w:eastAsia="黑体"/>
          <w:spacing w:val="-5"/>
        </w:rPr>
        <w:t>四、财政拨款收入支出决算总体情况说明</w:t>
      </w:r>
    </w:p>
    <w:p>
      <w:pPr>
        <w:pStyle w:val="4"/>
        <w:spacing w:before="184"/>
        <w:ind w:left="755"/>
        <w:rPr>
          <w:rFonts w:ascii="仿宋" w:eastAsia="仿宋"/>
        </w:rPr>
      </w:pPr>
      <w:r>
        <w:rPr>
          <w:rFonts w:ascii="仿宋" w:eastAsia="仿宋"/>
          <w:spacing w:val="-4"/>
        </w:rPr>
        <w:t>2023</w:t>
      </w:r>
      <w:r>
        <w:rPr>
          <w:rFonts w:ascii="仿宋" w:eastAsia="仿宋"/>
          <w:spacing w:val="-20"/>
        </w:rPr>
        <w:t xml:space="preserve"> 年度财政拨款收、支总计均为 </w:t>
      </w:r>
      <w:r>
        <w:rPr>
          <w:rFonts w:ascii="仿宋" w:eastAsia="仿宋"/>
          <w:spacing w:val="-4"/>
        </w:rPr>
        <w:t>26557.69</w:t>
      </w:r>
      <w:r>
        <w:rPr>
          <w:rFonts w:ascii="仿宋" w:eastAsia="仿宋"/>
          <w:spacing w:val="-36"/>
        </w:rPr>
        <w:t xml:space="preserve"> 万元。与 </w:t>
      </w:r>
      <w:r>
        <w:rPr>
          <w:rFonts w:ascii="仿宋" w:eastAsia="仿宋"/>
          <w:spacing w:val="-4"/>
        </w:rPr>
        <w:t>2022</w:t>
      </w:r>
    </w:p>
    <w:p>
      <w:pPr>
        <w:pStyle w:val="4"/>
        <w:spacing w:before="184" w:line="345" w:lineRule="auto"/>
        <w:ind w:right="255"/>
        <w:rPr>
          <w:rFonts w:ascii="仿宋" w:eastAsia="仿宋"/>
        </w:rPr>
      </w:pPr>
      <w:r>
        <w:rPr>
          <w:rFonts w:ascii="仿宋" w:eastAsia="仿宋"/>
          <w:spacing w:val="9"/>
        </w:rPr>
        <w:t xml:space="preserve">年度相比，财政拨款收、支总计各减少 </w:t>
      </w:r>
      <w:r>
        <w:rPr>
          <w:rFonts w:ascii="仿宋" w:eastAsia="仿宋"/>
        </w:rPr>
        <w:t>21502.27</w:t>
      </w:r>
      <w:r>
        <w:rPr>
          <w:rFonts w:ascii="仿宋" w:eastAsia="仿宋"/>
          <w:spacing w:val="-2"/>
        </w:rPr>
        <w:t xml:space="preserve"> 万元，下降</w:t>
      </w:r>
      <w:r>
        <w:rPr>
          <w:rFonts w:ascii="仿宋" w:eastAsia="仿宋"/>
        </w:rPr>
        <w:t xml:space="preserve"> </w:t>
      </w:r>
      <w:r>
        <w:rPr>
          <w:rFonts w:ascii="仿宋" w:eastAsia="仿宋"/>
          <w:spacing w:val="-2"/>
        </w:rPr>
        <w:t>44.74%。主要变动原因是疫情结束经费减少。</w:t>
      </w:r>
    </w:p>
    <w:p>
      <w:pPr>
        <w:pStyle w:val="4"/>
        <w:spacing w:before="2"/>
        <w:ind w:left="433"/>
        <w:rPr>
          <w:rFonts w:ascii="仿宋" w:eastAsia="仿宋"/>
        </w:rPr>
      </w:pPr>
      <w:r>
        <w:rPr>
          <w:rFonts w:ascii="仿宋" w:eastAsia="仿宋"/>
          <w:spacing w:val="-4"/>
        </w:rPr>
        <w:t>（</w:t>
      </w:r>
      <w:r>
        <w:rPr>
          <w:rFonts w:ascii="仿宋" w:eastAsia="仿宋"/>
          <w:spacing w:val="-30"/>
        </w:rPr>
        <w:t xml:space="preserve">图 </w:t>
      </w:r>
      <w:r>
        <w:rPr>
          <w:rFonts w:ascii="仿宋" w:eastAsia="仿宋"/>
          <w:spacing w:val="-4"/>
        </w:rPr>
        <w:t>4：财政拨款收、支决算总计变动情况</w:t>
      </w:r>
      <w:r>
        <w:rPr>
          <w:rFonts w:ascii="仿宋" w:eastAsia="仿宋"/>
          <w:spacing w:val="-159"/>
        </w:rPr>
        <w:t>）</w:t>
      </w:r>
      <w:r>
        <w:rPr>
          <w:rFonts w:ascii="仿宋" w:eastAsia="仿宋"/>
        </w:rPr>
        <w:t>（</w:t>
      </w:r>
      <w:r>
        <w:rPr>
          <w:rFonts w:ascii="仿宋" w:eastAsia="仿宋"/>
          <w:spacing w:val="-4"/>
        </w:rPr>
        <w:t>柱状图</w:t>
      </w:r>
      <w:r>
        <w:rPr>
          <w:rFonts w:ascii="仿宋" w:eastAsia="仿宋"/>
          <w:spacing w:val="-10"/>
        </w:rPr>
        <w:t>）</w:t>
      </w:r>
    </w:p>
    <w:p>
      <w:pPr>
        <w:pStyle w:val="4"/>
        <w:spacing w:before="206"/>
        <w:ind w:left="0"/>
        <w:rPr>
          <w:rFonts w:ascii="仿宋"/>
          <w:sz w:val="20"/>
        </w:rPr>
      </w:pPr>
      <w:r>
        <w:rPr>
          <w:rFonts w:ascii="仿宋"/>
          <w:sz w:val="20"/>
        </w:rPr>
        <w:drawing>
          <wp:anchor distT="0" distB="0" distL="0" distR="0" simplePos="0" relativeHeight="251664384" behindDoc="1" locked="0" layoutInCell="1" allowOverlap="1">
            <wp:simplePos x="0" y="0"/>
            <wp:positionH relativeFrom="page">
              <wp:posOffset>2029460</wp:posOffset>
            </wp:positionH>
            <wp:positionV relativeFrom="paragraph">
              <wp:posOffset>311150</wp:posOffset>
            </wp:positionV>
            <wp:extent cx="2805430" cy="2365375"/>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0" cstate="print"/>
                    <a:stretch>
                      <a:fillRect/>
                    </a:stretch>
                  </pic:blipFill>
                  <pic:spPr>
                    <a:xfrm>
                      <a:off x="0" y="0"/>
                      <a:ext cx="2805684" cy="2365248"/>
                    </a:xfrm>
                    <a:prstGeom prst="rect">
                      <a:avLst/>
                    </a:prstGeom>
                  </pic:spPr>
                </pic:pic>
              </a:graphicData>
            </a:graphic>
          </wp:anchor>
        </w:drawing>
      </w:r>
    </w:p>
    <w:p>
      <w:pPr>
        <w:pStyle w:val="4"/>
        <w:spacing w:before="7"/>
        <w:ind w:left="0"/>
        <w:rPr>
          <w:rFonts w:ascii="仿宋"/>
        </w:rPr>
      </w:pPr>
    </w:p>
    <w:p>
      <w:pPr>
        <w:pStyle w:val="4"/>
        <w:ind w:left="1074"/>
        <w:rPr>
          <w:rFonts w:ascii="黑体" w:eastAsia="黑体"/>
        </w:rPr>
      </w:pPr>
      <w:bookmarkStart w:id="26" w:name="五、一般公共预算财政拨款支出决算情况说明"/>
      <w:bookmarkEnd w:id="26"/>
      <w:r>
        <w:rPr>
          <w:rFonts w:ascii="黑体" w:eastAsia="黑体"/>
          <w:spacing w:val="-4"/>
        </w:rPr>
        <w:t>五、</w:t>
      </w:r>
      <w:r>
        <w:rPr>
          <w:rFonts w:ascii="黑体" w:eastAsia="黑体"/>
          <w:b/>
          <w:spacing w:val="-4"/>
        </w:rPr>
        <w:t>一</w:t>
      </w:r>
      <w:r>
        <w:rPr>
          <w:rFonts w:ascii="黑体" w:eastAsia="黑体"/>
          <w:spacing w:val="-5"/>
        </w:rPr>
        <w:t>般公共预算财政拨款支出决算情况说明</w:t>
      </w:r>
    </w:p>
    <w:p>
      <w:pPr>
        <w:pStyle w:val="3"/>
        <w:spacing w:before="184"/>
        <w:rPr>
          <w:rFonts w:ascii="仿宋" w:eastAsia="仿宋"/>
        </w:rPr>
      </w:pPr>
      <w:bookmarkStart w:id="27" w:name="（一）一般公共预算财政拨款支出决算总体情况"/>
      <w:bookmarkEnd w:id="27"/>
      <w:r>
        <w:rPr>
          <w:rFonts w:ascii="仿宋" w:eastAsia="仿宋"/>
          <w:spacing w:val="-2"/>
        </w:rPr>
        <w:t>（一）</w:t>
      </w:r>
      <w:r>
        <w:rPr>
          <w:rFonts w:ascii="仿宋" w:eastAsia="仿宋"/>
          <w:spacing w:val="-3"/>
        </w:rPr>
        <w:t>一般公共预算财政拨款支出决算总体情况</w:t>
      </w:r>
    </w:p>
    <w:p>
      <w:pPr>
        <w:pStyle w:val="3"/>
        <w:spacing w:after="0"/>
        <w:rPr>
          <w:rFonts w:ascii="仿宋" w:eastAsia="仿宋"/>
        </w:rPr>
        <w:sectPr>
          <w:pgSz w:w="11910" w:h="16840"/>
          <w:pgMar w:top="1680" w:right="1275" w:bottom="900" w:left="1417" w:header="0" w:footer="700" w:gutter="0"/>
          <w:cols w:space="720" w:num="1"/>
        </w:sectPr>
      </w:pPr>
    </w:p>
    <w:p>
      <w:pPr>
        <w:pStyle w:val="4"/>
        <w:spacing w:before="28" w:line="345" w:lineRule="auto"/>
        <w:ind w:right="254" w:firstLine="640"/>
        <w:jc w:val="both"/>
        <w:rPr>
          <w:rFonts w:ascii="仿宋" w:eastAsia="仿宋"/>
        </w:rPr>
      </w:pPr>
      <w:r>
        <w:rPr>
          <w:rFonts w:ascii="仿宋" w:eastAsia="仿宋"/>
          <w:spacing w:val="-6"/>
        </w:rPr>
        <w:t>2023</w:t>
      </w:r>
      <w:r>
        <w:rPr>
          <w:rFonts w:ascii="仿宋" w:eastAsia="仿宋"/>
          <w:spacing w:val="-14"/>
        </w:rPr>
        <w:t xml:space="preserve"> 年度一般公共预算财政拨款支出 </w:t>
      </w:r>
      <w:r>
        <w:rPr>
          <w:rFonts w:ascii="仿宋" w:eastAsia="仿宋"/>
          <w:spacing w:val="-6"/>
        </w:rPr>
        <w:t>24557.69</w:t>
      </w:r>
      <w:r>
        <w:rPr>
          <w:rFonts w:ascii="仿宋" w:eastAsia="仿宋"/>
          <w:spacing w:val="-12"/>
        </w:rPr>
        <w:t xml:space="preserve"> 万元，占本</w:t>
      </w:r>
      <w:r>
        <w:rPr>
          <w:rFonts w:ascii="仿宋" w:eastAsia="仿宋"/>
          <w:spacing w:val="-6"/>
        </w:rPr>
        <w:t xml:space="preserve">年支出合计的 </w:t>
      </w:r>
      <w:r>
        <w:rPr>
          <w:rFonts w:ascii="仿宋" w:eastAsia="仿宋"/>
          <w:spacing w:val="-2"/>
        </w:rPr>
        <w:t>6.69</w:t>
      </w:r>
      <w:r>
        <w:rPr>
          <w:rFonts w:ascii="仿宋" w:eastAsia="仿宋"/>
          <w:spacing w:val="-9"/>
        </w:rPr>
        <w:t xml:space="preserve">%。与 </w:t>
      </w:r>
      <w:r>
        <w:rPr>
          <w:rFonts w:ascii="仿宋" w:eastAsia="仿宋"/>
          <w:spacing w:val="-2"/>
        </w:rPr>
        <w:t>2022</w:t>
      </w:r>
      <w:r>
        <w:rPr>
          <w:rFonts w:ascii="仿宋" w:eastAsia="仿宋"/>
          <w:spacing w:val="-8"/>
        </w:rPr>
        <w:t xml:space="preserve"> 年度相比，一般公共预算财政拨</w:t>
      </w:r>
      <w:r>
        <w:rPr>
          <w:rFonts w:ascii="仿宋" w:eastAsia="仿宋"/>
          <w:spacing w:val="-7"/>
        </w:rPr>
        <w:t xml:space="preserve">款支出增加 </w:t>
      </w:r>
      <w:r>
        <w:rPr>
          <w:rFonts w:ascii="仿宋" w:eastAsia="仿宋"/>
          <w:spacing w:val="-2"/>
        </w:rPr>
        <w:t>8061.61</w:t>
      </w:r>
      <w:r>
        <w:rPr>
          <w:rFonts w:ascii="仿宋" w:eastAsia="仿宋"/>
          <w:spacing w:val="-11"/>
        </w:rPr>
        <w:t xml:space="preserve"> 万元，增长 </w:t>
      </w:r>
      <w:r>
        <w:rPr>
          <w:rFonts w:ascii="仿宋" w:eastAsia="仿宋"/>
          <w:spacing w:val="-2"/>
        </w:rPr>
        <w:t>48.87%。主要变动原因是拨付了医务人员临时性工作补助资金。</w:t>
      </w:r>
    </w:p>
    <w:p>
      <w:pPr>
        <w:pStyle w:val="4"/>
        <w:spacing w:before="4"/>
        <w:ind w:left="433"/>
        <w:jc w:val="both"/>
        <w:rPr>
          <w:rFonts w:ascii="仿宋" w:eastAsia="仿宋"/>
        </w:rPr>
      </w:pPr>
      <w:r>
        <w:rPr>
          <w:rFonts w:ascii="仿宋" w:eastAsia="仿宋"/>
          <w:spacing w:val="-4"/>
        </w:rPr>
        <w:t>（</w:t>
      </w:r>
      <w:r>
        <w:rPr>
          <w:rFonts w:ascii="仿宋" w:eastAsia="仿宋"/>
          <w:spacing w:val="-35"/>
        </w:rPr>
        <w:t xml:space="preserve">图 </w:t>
      </w:r>
      <w:r>
        <w:rPr>
          <w:rFonts w:ascii="仿宋" w:eastAsia="仿宋"/>
          <w:spacing w:val="-4"/>
        </w:rPr>
        <w:t>5：一般公共预算财政拨款支出决算变动情况</w:t>
      </w:r>
      <w:r>
        <w:rPr>
          <w:rFonts w:ascii="仿宋" w:eastAsia="仿宋"/>
          <w:spacing w:val="-178"/>
        </w:rPr>
        <w:t>）</w:t>
      </w:r>
      <w:r>
        <w:rPr>
          <w:rFonts w:ascii="仿宋" w:eastAsia="仿宋"/>
        </w:rPr>
        <w:t>（</w:t>
      </w:r>
      <w:r>
        <w:rPr>
          <w:rFonts w:ascii="仿宋" w:eastAsia="仿宋"/>
          <w:spacing w:val="-4"/>
        </w:rPr>
        <w:t>柱状图</w:t>
      </w:r>
      <w:r>
        <w:rPr>
          <w:rFonts w:ascii="仿宋" w:eastAsia="仿宋"/>
          <w:spacing w:val="-10"/>
        </w:rPr>
        <w:t>）</w:t>
      </w:r>
    </w:p>
    <w:p>
      <w:pPr>
        <w:pStyle w:val="4"/>
        <w:spacing w:before="12"/>
        <w:ind w:left="0"/>
        <w:rPr>
          <w:rFonts w:ascii="仿宋"/>
          <w:sz w:val="12"/>
        </w:rPr>
      </w:pPr>
      <w:r>
        <w:rPr>
          <w:rFonts w:ascii="仿宋"/>
          <w:sz w:val="12"/>
        </w:rPr>
        <w:drawing>
          <wp:anchor distT="0" distB="0" distL="0" distR="0" simplePos="0" relativeHeight="251664384" behindDoc="1" locked="0" layoutInCell="1" allowOverlap="1">
            <wp:simplePos x="0" y="0"/>
            <wp:positionH relativeFrom="page">
              <wp:posOffset>1610360</wp:posOffset>
            </wp:positionH>
            <wp:positionV relativeFrom="paragraph">
              <wp:posOffset>121920</wp:posOffset>
            </wp:positionV>
            <wp:extent cx="2805430" cy="2365375"/>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1" cstate="print"/>
                    <a:stretch>
                      <a:fillRect/>
                    </a:stretch>
                  </pic:blipFill>
                  <pic:spPr>
                    <a:xfrm>
                      <a:off x="0" y="0"/>
                      <a:ext cx="2805684" cy="2365248"/>
                    </a:xfrm>
                    <a:prstGeom prst="rect">
                      <a:avLst/>
                    </a:prstGeom>
                  </pic:spPr>
                </pic:pic>
              </a:graphicData>
            </a:graphic>
          </wp:anchor>
        </w:drawing>
      </w:r>
    </w:p>
    <w:p>
      <w:pPr>
        <w:pStyle w:val="4"/>
        <w:spacing w:before="46"/>
        <w:ind w:left="0"/>
        <w:rPr>
          <w:rFonts w:ascii="仿宋"/>
        </w:rPr>
      </w:pPr>
    </w:p>
    <w:p>
      <w:pPr>
        <w:pStyle w:val="3"/>
        <w:rPr>
          <w:rFonts w:ascii="仿宋" w:eastAsia="仿宋"/>
        </w:rPr>
      </w:pPr>
      <w:bookmarkStart w:id="28" w:name="（二）一般公共预算财政拨款支出决算结构情况"/>
      <w:bookmarkEnd w:id="28"/>
      <w:r>
        <w:rPr>
          <w:rFonts w:ascii="仿宋" w:eastAsia="仿宋"/>
          <w:spacing w:val="-2"/>
        </w:rPr>
        <w:t>（二）</w:t>
      </w:r>
      <w:r>
        <w:rPr>
          <w:rFonts w:ascii="仿宋" w:eastAsia="仿宋"/>
          <w:spacing w:val="-3"/>
        </w:rPr>
        <w:t>一般公共预算财政拨款支出决算结构情况</w:t>
      </w:r>
    </w:p>
    <w:p>
      <w:pPr>
        <w:spacing w:before="184" w:line="345" w:lineRule="auto"/>
        <w:ind w:left="114" w:right="256" w:firstLine="640"/>
        <w:jc w:val="both"/>
        <w:rPr>
          <w:rFonts w:ascii="仿宋" w:eastAsia="仿宋"/>
          <w:sz w:val="32"/>
        </w:rPr>
      </w:pPr>
      <w:r>
        <w:rPr>
          <w:rFonts w:ascii="仿宋" w:eastAsia="仿宋"/>
          <w:spacing w:val="-6"/>
          <w:sz w:val="32"/>
        </w:rPr>
        <w:t>2023</w:t>
      </w:r>
      <w:r>
        <w:rPr>
          <w:rFonts w:ascii="仿宋" w:eastAsia="仿宋"/>
          <w:spacing w:val="-14"/>
          <w:sz w:val="32"/>
        </w:rPr>
        <w:t xml:space="preserve"> 年度一般公共预算财政拨款支出 </w:t>
      </w:r>
      <w:r>
        <w:rPr>
          <w:rFonts w:ascii="仿宋" w:eastAsia="仿宋"/>
          <w:spacing w:val="-6"/>
          <w:sz w:val="32"/>
        </w:rPr>
        <w:t>24557.69</w:t>
      </w:r>
      <w:r>
        <w:rPr>
          <w:rFonts w:ascii="仿宋" w:eastAsia="仿宋"/>
          <w:spacing w:val="-12"/>
          <w:sz w:val="32"/>
        </w:rPr>
        <w:t xml:space="preserve"> 万元，主要</w:t>
      </w:r>
      <w:r>
        <w:rPr>
          <w:rFonts w:ascii="仿宋" w:eastAsia="仿宋"/>
          <w:spacing w:val="-2"/>
          <w:sz w:val="32"/>
        </w:rPr>
        <w:t>用于以下方面:</w:t>
      </w:r>
      <w:r>
        <w:rPr>
          <w:rFonts w:ascii="仿宋" w:eastAsia="仿宋"/>
          <w:b/>
          <w:spacing w:val="-5"/>
          <w:sz w:val="32"/>
        </w:rPr>
        <w:t xml:space="preserve">一般公共服务支出 </w:t>
      </w:r>
      <w:r>
        <w:rPr>
          <w:rFonts w:ascii="仿宋" w:eastAsia="仿宋"/>
          <w:b/>
          <w:spacing w:val="-2"/>
          <w:sz w:val="32"/>
        </w:rPr>
        <w:t>52.95</w:t>
      </w:r>
      <w:r>
        <w:rPr>
          <w:rFonts w:ascii="仿宋" w:eastAsia="仿宋"/>
          <w:b/>
          <w:spacing w:val="-30"/>
          <w:sz w:val="32"/>
        </w:rPr>
        <w:t xml:space="preserve"> </w:t>
      </w:r>
      <w:r>
        <w:rPr>
          <w:rFonts w:ascii="仿宋" w:eastAsia="仿宋"/>
          <w:spacing w:val="-8"/>
          <w:sz w:val="32"/>
        </w:rPr>
        <w:t xml:space="preserve">万元，占 </w:t>
      </w:r>
      <w:r>
        <w:rPr>
          <w:rFonts w:ascii="仿宋" w:eastAsia="仿宋"/>
          <w:spacing w:val="-2"/>
          <w:sz w:val="32"/>
        </w:rPr>
        <w:t>0.22%；</w:t>
      </w:r>
      <w:r>
        <w:rPr>
          <w:rFonts w:ascii="仿宋" w:eastAsia="仿宋"/>
          <w:b/>
          <w:spacing w:val="-2"/>
          <w:sz w:val="32"/>
        </w:rPr>
        <w:t>教育</w:t>
      </w:r>
      <w:r>
        <w:rPr>
          <w:rFonts w:ascii="仿宋" w:eastAsia="仿宋"/>
          <w:b/>
          <w:spacing w:val="-18"/>
          <w:sz w:val="32"/>
        </w:rPr>
        <w:t xml:space="preserve">支出 </w:t>
      </w:r>
      <w:r>
        <w:rPr>
          <w:rFonts w:ascii="仿宋" w:eastAsia="仿宋"/>
          <w:spacing w:val="-14"/>
          <w:sz w:val="32"/>
        </w:rPr>
        <w:t>0</w:t>
      </w:r>
      <w:r>
        <w:rPr>
          <w:rFonts w:ascii="仿宋" w:eastAsia="仿宋"/>
          <w:spacing w:val="-20"/>
          <w:sz w:val="32"/>
        </w:rPr>
        <w:t xml:space="preserve"> 万元，占 </w:t>
      </w:r>
      <w:r>
        <w:rPr>
          <w:rFonts w:ascii="仿宋" w:eastAsia="仿宋"/>
          <w:spacing w:val="-14"/>
          <w:sz w:val="32"/>
        </w:rPr>
        <w:t>0%；</w:t>
      </w:r>
      <w:r>
        <w:rPr>
          <w:rFonts w:ascii="仿宋" w:eastAsia="仿宋"/>
          <w:b/>
          <w:spacing w:val="-16"/>
          <w:sz w:val="32"/>
        </w:rPr>
        <w:t xml:space="preserve">科学技术支出 </w:t>
      </w:r>
      <w:r>
        <w:rPr>
          <w:rFonts w:ascii="仿宋" w:eastAsia="仿宋"/>
          <w:spacing w:val="-14"/>
          <w:sz w:val="32"/>
        </w:rPr>
        <w:t>140</w:t>
      </w:r>
      <w:r>
        <w:rPr>
          <w:rFonts w:ascii="仿宋" w:eastAsia="仿宋"/>
          <w:spacing w:val="-19"/>
          <w:sz w:val="32"/>
        </w:rPr>
        <w:t xml:space="preserve"> 万元，占 </w:t>
      </w:r>
      <w:r>
        <w:rPr>
          <w:rFonts w:ascii="仿宋" w:eastAsia="仿宋"/>
          <w:spacing w:val="-14"/>
          <w:sz w:val="32"/>
        </w:rPr>
        <w:t>0.57%；</w:t>
      </w:r>
      <w:r>
        <w:rPr>
          <w:rFonts w:ascii="仿宋" w:eastAsia="仿宋"/>
          <w:b/>
          <w:spacing w:val="-14"/>
          <w:sz w:val="32"/>
        </w:rPr>
        <w:t>文化旅</w:t>
      </w:r>
      <w:r>
        <w:rPr>
          <w:rFonts w:ascii="仿宋" w:eastAsia="仿宋"/>
          <w:b/>
          <w:spacing w:val="-9"/>
          <w:sz w:val="32"/>
        </w:rPr>
        <w:t xml:space="preserve">游体育与传媒支出 </w:t>
      </w:r>
      <w:r>
        <w:rPr>
          <w:rFonts w:ascii="仿宋" w:eastAsia="仿宋"/>
          <w:b/>
          <w:spacing w:val="-6"/>
          <w:sz w:val="32"/>
        </w:rPr>
        <w:t>0</w:t>
      </w:r>
      <w:r>
        <w:rPr>
          <w:rFonts w:ascii="仿宋" w:eastAsia="仿宋"/>
          <w:b/>
          <w:spacing w:val="-17"/>
          <w:sz w:val="32"/>
        </w:rPr>
        <w:t xml:space="preserve"> 万元，占 </w:t>
      </w:r>
      <w:r>
        <w:rPr>
          <w:rFonts w:ascii="仿宋" w:eastAsia="仿宋"/>
          <w:b/>
          <w:spacing w:val="-6"/>
          <w:sz w:val="32"/>
        </w:rPr>
        <w:t>0%</w:t>
      </w:r>
      <w:r>
        <w:rPr>
          <w:rFonts w:ascii="仿宋" w:eastAsia="仿宋"/>
          <w:spacing w:val="-6"/>
          <w:sz w:val="32"/>
        </w:rPr>
        <w:t>；</w:t>
      </w:r>
      <w:r>
        <w:rPr>
          <w:rFonts w:ascii="仿宋" w:eastAsia="仿宋"/>
          <w:b/>
          <w:spacing w:val="-9"/>
          <w:sz w:val="32"/>
        </w:rPr>
        <w:t xml:space="preserve">社会保障和就业支出 </w:t>
      </w:r>
      <w:r>
        <w:rPr>
          <w:rFonts w:ascii="仿宋" w:eastAsia="仿宋"/>
          <w:spacing w:val="-6"/>
          <w:sz w:val="32"/>
        </w:rPr>
        <w:t>626.64</w:t>
      </w:r>
      <w:r>
        <w:rPr>
          <w:rFonts w:ascii="仿宋" w:eastAsia="仿宋"/>
          <w:spacing w:val="-14"/>
          <w:sz w:val="32"/>
        </w:rPr>
        <w:t xml:space="preserve">万元，占 </w:t>
      </w:r>
      <w:r>
        <w:rPr>
          <w:rFonts w:ascii="仿宋" w:eastAsia="仿宋"/>
          <w:spacing w:val="-10"/>
          <w:sz w:val="32"/>
        </w:rPr>
        <w:t>2.55%；</w:t>
      </w:r>
      <w:r>
        <w:rPr>
          <w:rFonts w:ascii="仿宋" w:eastAsia="仿宋"/>
          <w:b/>
          <w:spacing w:val="-13"/>
          <w:sz w:val="32"/>
        </w:rPr>
        <w:t xml:space="preserve">卫生健康支出 </w:t>
      </w:r>
      <w:r>
        <w:rPr>
          <w:rFonts w:ascii="仿宋" w:eastAsia="仿宋"/>
          <w:spacing w:val="-10"/>
          <w:sz w:val="32"/>
        </w:rPr>
        <w:t>23355.13</w:t>
      </w:r>
      <w:r>
        <w:rPr>
          <w:rFonts w:ascii="仿宋" w:eastAsia="仿宋"/>
          <w:spacing w:val="-17"/>
          <w:sz w:val="32"/>
        </w:rPr>
        <w:t xml:space="preserve"> 万元，占 </w:t>
      </w:r>
      <w:r>
        <w:rPr>
          <w:rFonts w:ascii="仿宋" w:eastAsia="仿宋"/>
          <w:spacing w:val="-10"/>
          <w:sz w:val="32"/>
        </w:rPr>
        <w:t>95.1%；</w:t>
      </w:r>
      <w:r>
        <w:rPr>
          <w:rFonts w:ascii="仿宋" w:eastAsia="仿宋"/>
          <w:b/>
          <w:spacing w:val="-10"/>
          <w:sz w:val="32"/>
        </w:rPr>
        <w:t>住房</w:t>
      </w:r>
      <w:r>
        <w:rPr>
          <w:rFonts w:ascii="仿宋" w:eastAsia="仿宋"/>
          <w:b/>
          <w:spacing w:val="-7"/>
          <w:sz w:val="32"/>
        </w:rPr>
        <w:t xml:space="preserve">保障支出 </w:t>
      </w:r>
      <w:r>
        <w:rPr>
          <w:rFonts w:ascii="仿宋" w:eastAsia="仿宋"/>
          <w:sz w:val="32"/>
        </w:rPr>
        <w:t>383.08</w:t>
      </w:r>
      <w:r>
        <w:rPr>
          <w:rFonts w:ascii="仿宋" w:eastAsia="仿宋"/>
          <w:spacing w:val="-12"/>
          <w:sz w:val="32"/>
        </w:rPr>
        <w:t xml:space="preserve"> 万元，占 </w:t>
      </w:r>
      <w:r>
        <w:rPr>
          <w:rFonts w:ascii="仿宋" w:eastAsia="仿宋"/>
          <w:sz w:val="32"/>
        </w:rPr>
        <w:t>1.56%。</w:t>
      </w:r>
    </w:p>
    <w:p>
      <w:pPr>
        <w:pStyle w:val="4"/>
        <w:spacing w:before="6"/>
        <w:ind w:left="433"/>
        <w:jc w:val="both"/>
        <w:rPr>
          <w:rFonts w:ascii="仿宋" w:eastAsia="仿宋"/>
        </w:rPr>
      </w:pPr>
      <w:r>
        <w:rPr>
          <w:rFonts w:ascii="仿宋" w:eastAsia="仿宋"/>
          <w:spacing w:val="-4"/>
        </w:rPr>
        <w:t>（</w:t>
      </w:r>
      <w:r>
        <w:rPr>
          <w:rFonts w:ascii="仿宋" w:eastAsia="仿宋"/>
          <w:spacing w:val="-28"/>
        </w:rPr>
        <w:t xml:space="preserve">图 </w:t>
      </w:r>
      <w:r>
        <w:rPr>
          <w:rFonts w:ascii="仿宋" w:eastAsia="仿宋"/>
          <w:spacing w:val="-4"/>
        </w:rPr>
        <w:t>6：一般公共预算财政拨款支出决算结构</w:t>
      </w:r>
      <w:r>
        <w:rPr>
          <w:rFonts w:ascii="仿宋" w:eastAsia="仿宋"/>
          <w:spacing w:val="-161"/>
        </w:rPr>
        <w:t>）</w:t>
      </w:r>
      <w:r>
        <w:rPr>
          <w:rFonts w:ascii="仿宋" w:eastAsia="仿宋"/>
        </w:rPr>
        <w:t>（</w:t>
      </w:r>
      <w:r>
        <w:rPr>
          <w:rFonts w:ascii="仿宋" w:eastAsia="仿宋"/>
          <w:spacing w:val="-4"/>
        </w:rPr>
        <w:t>饼状图</w:t>
      </w:r>
      <w:r>
        <w:rPr>
          <w:rFonts w:ascii="仿宋" w:eastAsia="仿宋"/>
          <w:spacing w:val="-10"/>
        </w:rPr>
        <w:t>）</w:t>
      </w:r>
    </w:p>
    <w:p>
      <w:pPr>
        <w:pStyle w:val="4"/>
        <w:spacing w:after="0"/>
        <w:jc w:val="both"/>
        <w:rPr>
          <w:rFonts w:ascii="仿宋" w:eastAsia="仿宋"/>
        </w:rPr>
        <w:sectPr>
          <w:pgSz w:w="11910" w:h="16840"/>
          <w:pgMar w:top="1640" w:right="1275" w:bottom="900" w:left="1417" w:header="0" w:footer="700" w:gutter="0"/>
          <w:cols w:space="720" w:num="1"/>
        </w:sectPr>
      </w:pPr>
    </w:p>
    <w:p>
      <w:pPr>
        <w:pStyle w:val="4"/>
        <w:ind w:left="1107"/>
        <w:rPr>
          <w:rFonts w:ascii="仿宋"/>
          <w:sz w:val="20"/>
        </w:rPr>
      </w:pPr>
      <w:r>
        <w:rPr>
          <w:rFonts w:ascii="仿宋"/>
          <w:sz w:val="20"/>
        </w:rPr>
        <w:drawing>
          <wp:inline distT="0" distB="0" distL="0" distR="0">
            <wp:extent cx="3274060" cy="1964055"/>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2" cstate="print"/>
                    <a:stretch>
                      <a:fillRect/>
                    </a:stretch>
                  </pic:blipFill>
                  <pic:spPr>
                    <a:xfrm>
                      <a:off x="0" y="0"/>
                      <a:ext cx="3274672" cy="1964150"/>
                    </a:xfrm>
                    <a:prstGeom prst="rect">
                      <a:avLst/>
                    </a:prstGeom>
                  </pic:spPr>
                </pic:pic>
              </a:graphicData>
            </a:graphic>
          </wp:inline>
        </w:drawing>
      </w:r>
    </w:p>
    <w:p>
      <w:pPr>
        <w:pStyle w:val="4"/>
        <w:ind w:left="0"/>
        <w:rPr>
          <w:rFonts w:ascii="仿宋"/>
        </w:rPr>
      </w:pPr>
    </w:p>
    <w:p>
      <w:pPr>
        <w:pStyle w:val="4"/>
        <w:spacing w:before="233"/>
        <w:ind w:left="0"/>
        <w:rPr>
          <w:rFonts w:ascii="仿宋"/>
        </w:rPr>
      </w:pPr>
    </w:p>
    <w:p>
      <w:pPr>
        <w:spacing w:before="0"/>
        <w:ind w:left="755" w:right="0" w:firstLine="0"/>
        <w:jc w:val="left"/>
        <w:rPr>
          <w:rFonts w:ascii="仿宋" w:eastAsia="仿宋"/>
          <w:b/>
          <w:sz w:val="32"/>
        </w:rPr>
      </w:pPr>
      <w:bookmarkStart w:id="29" w:name="（三）一般公共预算财政拨款支出决算具体情况"/>
      <w:bookmarkEnd w:id="29"/>
      <w:r>
        <w:rPr>
          <w:rFonts w:ascii="仿宋" w:eastAsia="仿宋"/>
          <w:b/>
          <w:spacing w:val="-2"/>
          <w:sz w:val="32"/>
        </w:rPr>
        <w:t>（三）</w:t>
      </w:r>
      <w:r>
        <w:rPr>
          <w:rFonts w:ascii="仿宋" w:eastAsia="仿宋"/>
          <w:b/>
          <w:spacing w:val="-3"/>
          <w:sz w:val="32"/>
        </w:rPr>
        <w:t>一般公共预算财政拨款支出决算具体情况</w:t>
      </w:r>
    </w:p>
    <w:p>
      <w:pPr>
        <w:spacing w:before="184" w:line="345" w:lineRule="auto"/>
        <w:ind w:left="114" w:right="256" w:firstLine="640"/>
        <w:jc w:val="left"/>
        <w:rPr>
          <w:rFonts w:ascii="仿宋" w:eastAsia="仿宋"/>
          <w:b/>
          <w:sz w:val="32"/>
        </w:rPr>
      </w:pPr>
      <w:bookmarkStart w:id="30" w:name="2023年度一般公共预算支出决算数为24557.69万元，完成预算100%。其中"/>
      <w:bookmarkEnd w:id="30"/>
      <w:r>
        <w:rPr>
          <w:rFonts w:ascii="仿宋" w:eastAsia="仿宋"/>
          <w:b/>
          <w:sz w:val="32"/>
        </w:rPr>
        <w:t>2023</w:t>
      </w:r>
      <w:r>
        <w:rPr>
          <w:rFonts w:ascii="仿宋" w:eastAsia="仿宋"/>
          <w:b/>
          <w:spacing w:val="-15"/>
          <w:sz w:val="32"/>
        </w:rPr>
        <w:t xml:space="preserve"> 年度一般公共预算支出决算数为 </w:t>
      </w:r>
      <w:r>
        <w:rPr>
          <w:rFonts w:ascii="仿宋" w:eastAsia="仿宋"/>
          <w:b/>
          <w:sz w:val="32"/>
        </w:rPr>
        <w:t>24557.69</w:t>
      </w:r>
      <w:r>
        <w:rPr>
          <w:rFonts w:ascii="仿宋" w:eastAsia="仿宋"/>
          <w:b/>
          <w:spacing w:val="-28"/>
          <w:sz w:val="32"/>
        </w:rPr>
        <w:t xml:space="preserve"> 万元</w:t>
      </w:r>
      <w:r>
        <w:rPr>
          <w:rFonts w:ascii="仿宋" w:eastAsia="仿宋"/>
          <w:spacing w:val="-72"/>
          <w:sz w:val="32"/>
        </w:rPr>
        <w:t>，</w:t>
      </w:r>
      <w:r>
        <w:rPr>
          <w:rFonts w:ascii="仿宋" w:eastAsia="仿宋"/>
          <w:b/>
          <w:sz w:val="32"/>
        </w:rPr>
        <w:t>完成</w:t>
      </w:r>
      <w:r>
        <w:rPr>
          <w:rFonts w:ascii="仿宋" w:eastAsia="仿宋"/>
          <w:b/>
          <w:spacing w:val="-14"/>
          <w:sz w:val="32"/>
        </w:rPr>
        <w:t xml:space="preserve">预算 </w:t>
      </w:r>
      <w:r>
        <w:rPr>
          <w:rFonts w:ascii="仿宋" w:eastAsia="仿宋"/>
          <w:b/>
          <w:sz w:val="32"/>
        </w:rPr>
        <w:t>100%。其中：</w:t>
      </w:r>
    </w:p>
    <w:p>
      <w:pPr>
        <w:pStyle w:val="9"/>
        <w:numPr>
          <w:ilvl w:val="0"/>
          <w:numId w:val="4"/>
        </w:numPr>
        <w:tabs>
          <w:tab w:val="left" w:pos="1080"/>
        </w:tabs>
        <w:spacing w:before="2" w:after="0" w:line="240" w:lineRule="auto"/>
        <w:ind w:left="1080" w:right="0" w:hanging="325"/>
        <w:jc w:val="left"/>
        <w:rPr>
          <w:sz w:val="32"/>
        </w:rPr>
      </w:pPr>
      <w:r>
        <w:rPr>
          <w:b/>
          <w:sz w:val="32"/>
        </w:rPr>
        <w:t>科学技术支出（类）基础研究（款</w:t>
      </w:r>
      <w:r>
        <w:rPr>
          <w:b/>
          <w:spacing w:val="-151"/>
          <w:sz w:val="32"/>
        </w:rPr>
        <w:t>）</w:t>
      </w:r>
      <w:r>
        <w:rPr>
          <w:b/>
          <w:spacing w:val="9"/>
          <w:sz w:val="32"/>
        </w:rPr>
        <w:t>（</w:t>
      </w:r>
      <w:r>
        <w:rPr>
          <w:b/>
          <w:sz w:val="32"/>
        </w:rPr>
        <w:t>项）:</w:t>
      </w:r>
      <w:r>
        <w:rPr>
          <w:spacing w:val="-2"/>
          <w:sz w:val="32"/>
        </w:rPr>
        <w:t>支出决算为</w:t>
      </w:r>
    </w:p>
    <w:p>
      <w:pPr>
        <w:pStyle w:val="4"/>
        <w:spacing w:before="184"/>
      </w:pPr>
      <w:r>
        <w:rPr>
          <w:spacing w:val="-2"/>
        </w:rPr>
        <w:t>40</w:t>
      </w:r>
      <w:r>
        <w:rPr>
          <w:spacing w:val="-21"/>
        </w:rPr>
        <w:t xml:space="preserve"> 万元，完成预算 </w:t>
      </w:r>
      <w:r>
        <w:rPr>
          <w:spacing w:val="-2"/>
        </w:rPr>
        <w:t>100</w:t>
      </w:r>
      <w:r>
        <w:rPr>
          <w:spacing w:val="-6"/>
        </w:rPr>
        <w:t>%。</w:t>
      </w:r>
    </w:p>
    <w:p>
      <w:pPr>
        <w:pStyle w:val="9"/>
        <w:numPr>
          <w:ilvl w:val="0"/>
          <w:numId w:val="4"/>
        </w:numPr>
        <w:tabs>
          <w:tab w:val="left" w:pos="1072"/>
        </w:tabs>
        <w:spacing w:before="184" w:after="0" w:line="345" w:lineRule="auto"/>
        <w:ind w:left="114" w:right="95" w:firstLine="640"/>
        <w:jc w:val="left"/>
        <w:rPr>
          <w:sz w:val="32"/>
        </w:rPr>
      </w:pPr>
      <w:r>
        <w:rPr>
          <w:b/>
          <w:spacing w:val="-23"/>
          <w:sz w:val="32"/>
        </w:rPr>
        <w:t>科学技术支出</w:t>
      </w:r>
      <w:r>
        <w:rPr>
          <w:b/>
          <w:spacing w:val="-2"/>
          <w:sz w:val="32"/>
        </w:rPr>
        <w:t>（类</w:t>
      </w:r>
      <w:r>
        <w:rPr>
          <w:b/>
          <w:spacing w:val="-125"/>
          <w:sz w:val="32"/>
        </w:rPr>
        <w:t>）</w:t>
      </w:r>
      <w:r>
        <w:rPr>
          <w:b/>
          <w:spacing w:val="-23"/>
          <w:sz w:val="32"/>
        </w:rPr>
        <w:t>科技重大项目</w:t>
      </w:r>
      <w:r>
        <w:rPr>
          <w:b/>
          <w:spacing w:val="-2"/>
          <w:sz w:val="32"/>
        </w:rPr>
        <w:t>（款</w:t>
      </w:r>
      <w:r>
        <w:rPr>
          <w:b/>
          <w:spacing w:val="-127"/>
          <w:sz w:val="32"/>
        </w:rPr>
        <w:t>）</w:t>
      </w:r>
      <w:r>
        <w:rPr>
          <w:b/>
          <w:spacing w:val="-21"/>
          <w:sz w:val="32"/>
        </w:rPr>
        <w:t>重点研发计划</w:t>
      </w:r>
      <w:r>
        <w:rPr>
          <w:b/>
          <w:spacing w:val="-2"/>
          <w:sz w:val="32"/>
        </w:rPr>
        <w:t>（项）</w:t>
      </w:r>
      <w:r>
        <w:rPr>
          <w:spacing w:val="-5"/>
          <w:sz w:val="32"/>
        </w:rPr>
        <w:t xml:space="preserve">支出决算为 </w:t>
      </w:r>
      <w:r>
        <w:rPr>
          <w:sz w:val="32"/>
        </w:rPr>
        <w:t>100</w:t>
      </w:r>
      <w:r>
        <w:rPr>
          <w:spacing w:val="-9"/>
          <w:sz w:val="32"/>
        </w:rPr>
        <w:t xml:space="preserve"> 万元，完成预算 </w:t>
      </w:r>
      <w:r>
        <w:rPr>
          <w:sz w:val="32"/>
        </w:rPr>
        <w:t>100%。</w:t>
      </w:r>
    </w:p>
    <w:p>
      <w:pPr>
        <w:pStyle w:val="9"/>
        <w:numPr>
          <w:ilvl w:val="0"/>
          <w:numId w:val="4"/>
        </w:numPr>
        <w:tabs>
          <w:tab w:val="left" w:pos="1072"/>
        </w:tabs>
        <w:spacing w:before="2" w:after="0" w:line="345" w:lineRule="auto"/>
        <w:ind w:left="114" w:right="256" w:firstLine="640"/>
        <w:jc w:val="left"/>
        <w:rPr>
          <w:sz w:val="32"/>
        </w:rPr>
      </w:pPr>
      <w:r>
        <w:rPr>
          <w:b/>
          <w:spacing w:val="-6"/>
          <w:sz w:val="32"/>
        </w:rPr>
        <w:t>社会保障和就业（类）行政事业单位养老支出（款）行政</w:t>
      </w:r>
      <w:r>
        <w:rPr>
          <w:b/>
          <w:sz w:val="32"/>
        </w:rPr>
        <w:t xml:space="preserve">单位离退休（项）: </w:t>
      </w:r>
      <w:r>
        <w:rPr>
          <w:spacing w:val="-11"/>
          <w:sz w:val="32"/>
        </w:rPr>
        <w:t xml:space="preserve">支出决算为 </w:t>
      </w:r>
      <w:r>
        <w:rPr>
          <w:sz w:val="32"/>
        </w:rPr>
        <w:t>33.71</w:t>
      </w:r>
      <w:r>
        <w:rPr>
          <w:spacing w:val="-16"/>
          <w:sz w:val="32"/>
        </w:rPr>
        <w:t xml:space="preserve"> 万元，完成预算 </w:t>
      </w:r>
      <w:r>
        <w:rPr>
          <w:sz w:val="32"/>
        </w:rPr>
        <w:t>100%。</w:t>
      </w:r>
    </w:p>
    <w:p>
      <w:pPr>
        <w:pStyle w:val="9"/>
        <w:numPr>
          <w:ilvl w:val="0"/>
          <w:numId w:val="4"/>
        </w:numPr>
        <w:tabs>
          <w:tab w:val="left" w:pos="1072"/>
        </w:tabs>
        <w:spacing w:before="2" w:after="0" w:line="345" w:lineRule="auto"/>
        <w:ind w:left="114" w:right="256" w:firstLine="640"/>
        <w:jc w:val="left"/>
        <w:rPr>
          <w:sz w:val="32"/>
        </w:rPr>
      </w:pPr>
      <w:r>
        <w:rPr>
          <w:b/>
          <w:spacing w:val="-6"/>
          <w:sz w:val="32"/>
        </w:rPr>
        <w:t>社会保障和就业（类）行政事业单位养老支出（款）事业</w:t>
      </w:r>
      <w:r>
        <w:rPr>
          <w:b/>
          <w:sz w:val="32"/>
        </w:rPr>
        <w:t xml:space="preserve">单位离退休（项）: </w:t>
      </w:r>
      <w:r>
        <w:rPr>
          <w:spacing w:val="-11"/>
          <w:sz w:val="32"/>
        </w:rPr>
        <w:t xml:space="preserve">支出决算为 </w:t>
      </w:r>
      <w:r>
        <w:rPr>
          <w:sz w:val="32"/>
        </w:rPr>
        <w:t>59.59</w:t>
      </w:r>
      <w:r>
        <w:rPr>
          <w:spacing w:val="-16"/>
          <w:sz w:val="32"/>
        </w:rPr>
        <w:t xml:space="preserve"> 万元，完成预算 </w:t>
      </w:r>
      <w:r>
        <w:rPr>
          <w:sz w:val="32"/>
        </w:rPr>
        <w:t>100%。</w:t>
      </w:r>
    </w:p>
    <w:p>
      <w:pPr>
        <w:pStyle w:val="9"/>
        <w:numPr>
          <w:ilvl w:val="0"/>
          <w:numId w:val="4"/>
        </w:numPr>
        <w:tabs>
          <w:tab w:val="left" w:pos="1072"/>
        </w:tabs>
        <w:spacing w:before="2" w:after="0" w:line="345" w:lineRule="auto"/>
        <w:ind w:left="114" w:right="256" w:firstLine="640"/>
        <w:jc w:val="both"/>
        <w:rPr>
          <w:sz w:val="32"/>
        </w:rPr>
      </w:pPr>
      <w:r>
        <w:rPr>
          <w:b/>
          <w:spacing w:val="-6"/>
          <w:sz w:val="32"/>
        </w:rPr>
        <w:t>社会保障和就业（类）行政事业单位养老支出（款）机关</w:t>
      </w:r>
      <w:r>
        <w:rPr>
          <w:b/>
          <w:spacing w:val="-2"/>
          <w:sz w:val="32"/>
        </w:rPr>
        <w:t>事业单位基本养老保险缴费支出（项）</w:t>
      </w:r>
      <w:r>
        <w:rPr>
          <w:b/>
          <w:spacing w:val="-10"/>
          <w:sz w:val="32"/>
        </w:rPr>
        <w:t xml:space="preserve">: </w:t>
      </w:r>
      <w:r>
        <w:rPr>
          <w:spacing w:val="-8"/>
          <w:sz w:val="32"/>
        </w:rPr>
        <w:t xml:space="preserve">支出决算为 </w:t>
      </w:r>
      <w:r>
        <w:rPr>
          <w:spacing w:val="-2"/>
          <w:sz w:val="32"/>
        </w:rPr>
        <w:t>506.33</w:t>
      </w:r>
      <w:r>
        <w:rPr>
          <w:spacing w:val="-20"/>
          <w:sz w:val="32"/>
        </w:rPr>
        <w:t xml:space="preserve"> 万</w:t>
      </w:r>
      <w:r>
        <w:rPr>
          <w:spacing w:val="-7"/>
          <w:sz w:val="32"/>
        </w:rPr>
        <w:t xml:space="preserve">元，完成预算 </w:t>
      </w:r>
      <w:r>
        <w:rPr>
          <w:sz w:val="32"/>
        </w:rPr>
        <w:t>100%。</w:t>
      </w:r>
    </w:p>
    <w:p>
      <w:pPr>
        <w:pStyle w:val="9"/>
        <w:numPr>
          <w:ilvl w:val="0"/>
          <w:numId w:val="4"/>
        </w:numPr>
        <w:tabs>
          <w:tab w:val="left" w:pos="1072"/>
        </w:tabs>
        <w:spacing w:before="3" w:after="0" w:line="345" w:lineRule="auto"/>
        <w:ind w:left="114" w:right="256" w:firstLine="640"/>
        <w:jc w:val="both"/>
        <w:rPr>
          <w:sz w:val="32"/>
        </w:rPr>
      </w:pPr>
      <w:r>
        <w:rPr>
          <w:b/>
          <w:spacing w:val="-4"/>
          <w:sz w:val="32"/>
        </w:rPr>
        <w:t>社会保障和就业（类）抚恤（款）死亡抚恤（项）</w:t>
      </w:r>
      <w:r>
        <w:rPr>
          <w:b/>
          <w:spacing w:val="-20"/>
          <w:sz w:val="32"/>
        </w:rPr>
        <w:t xml:space="preserve">: </w:t>
      </w:r>
      <w:r>
        <w:rPr>
          <w:spacing w:val="-4"/>
          <w:sz w:val="32"/>
        </w:rPr>
        <w:t>支出</w:t>
      </w:r>
      <w:r>
        <w:rPr>
          <w:spacing w:val="-8"/>
          <w:sz w:val="32"/>
        </w:rPr>
        <w:t xml:space="preserve">决算为 </w:t>
      </w:r>
      <w:r>
        <w:rPr>
          <w:sz w:val="32"/>
        </w:rPr>
        <w:t>26.91</w:t>
      </w:r>
      <w:r>
        <w:rPr>
          <w:spacing w:val="-9"/>
          <w:sz w:val="32"/>
        </w:rPr>
        <w:t xml:space="preserve"> 万元，完成预算 </w:t>
      </w:r>
      <w:r>
        <w:rPr>
          <w:sz w:val="32"/>
        </w:rPr>
        <w:t>100%。</w:t>
      </w:r>
    </w:p>
    <w:p>
      <w:pPr>
        <w:pStyle w:val="9"/>
        <w:spacing w:after="0" w:line="345" w:lineRule="auto"/>
        <w:jc w:val="both"/>
        <w:rPr>
          <w:sz w:val="32"/>
        </w:rPr>
        <w:sectPr>
          <w:pgSz w:w="11910" w:h="16840"/>
          <w:pgMar w:top="1680" w:right="1275" w:bottom="900" w:left="1417" w:header="0" w:footer="700" w:gutter="0"/>
          <w:cols w:space="720" w:num="1"/>
        </w:sectPr>
      </w:pPr>
    </w:p>
    <w:p>
      <w:pPr>
        <w:pStyle w:val="9"/>
        <w:numPr>
          <w:ilvl w:val="0"/>
          <w:numId w:val="4"/>
        </w:numPr>
        <w:tabs>
          <w:tab w:val="left" w:pos="1072"/>
        </w:tabs>
        <w:spacing w:before="28" w:after="0" w:line="345" w:lineRule="auto"/>
        <w:ind w:left="114" w:right="257" w:firstLine="640"/>
        <w:jc w:val="left"/>
        <w:rPr>
          <w:sz w:val="32"/>
        </w:rPr>
      </w:pPr>
      <w:r>
        <w:rPr>
          <w:b/>
          <w:spacing w:val="-25"/>
          <w:w w:val="99"/>
          <w:sz w:val="32"/>
        </w:rPr>
        <w:t>卫生健康支出</w:t>
      </w:r>
      <w:r>
        <w:rPr>
          <w:b/>
          <w:w w:val="99"/>
          <w:sz w:val="32"/>
        </w:rPr>
        <w:t>（类</w:t>
      </w:r>
      <w:r>
        <w:rPr>
          <w:b/>
          <w:spacing w:val="-156"/>
          <w:w w:val="99"/>
          <w:sz w:val="32"/>
        </w:rPr>
        <w:t>）</w:t>
      </w:r>
      <w:r>
        <w:rPr>
          <w:b/>
          <w:spacing w:val="-19"/>
          <w:w w:val="99"/>
          <w:sz w:val="32"/>
        </w:rPr>
        <w:t>卫生健康管理事务</w:t>
      </w:r>
      <w:r>
        <w:rPr>
          <w:b/>
          <w:w w:val="99"/>
          <w:sz w:val="32"/>
        </w:rPr>
        <w:t>（</w:t>
      </w:r>
      <w:r>
        <w:rPr>
          <w:b/>
          <w:spacing w:val="2"/>
          <w:w w:val="99"/>
          <w:sz w:val="32"/>
        </w:rPr>
        <w:t>款</w:t>
      </w:r>
      <w:r>
        <w:rPr>
          <w:b/>
          <w:spacing w:val="-159"/>
          <w:w w:val="99"/>
          <w:sz w:val="32"/>
        </w:rPr>
        <w:t>）</w:t>
      </w:r>
      <w:r>
        <w:rPr>
          <w:b/>
          <w:spacing w:val="-37"/>
          <w:w w:val="99"/>
          <w:sz w:val="32"/>
        </w:rPr>
        <w:t>行政运行</w:t>
      </w:r>
      <w:r>
        <w:rPr>
          <w:b/>
          <w:w w:val="99"/>
          <w:sz w:val="32"/>
        </w:rPr>
        <w:t>（</w:t>
      </w:r>
      <w:r>
        <w:rPr>
          <w:b/>
          <w:spacing w:val="2"/>
          <w:w w:val="99"/>
          <w:sz w:val="32"/>
        </w:rPr>
        <w:t>项</w:t>
      </w:r>
      <w:r>
        <w:rPr>
          <w:b/>
          <w:spacing w:val="-161"/>
          <w:w w:val="99"/>
          <w:sz w:val="32"/>
        </w:rPr>
        <w:t>）</w:t>
      </w:r>
      <w:r>
        <w:rPr>
          <w:b/>
          <w:w w:val="98"/>
          <w:sz w:val="32"/>
        </w:rPr>
        <w:t>:</w:t>
      </w:r>
      <w:r>
        <w:rPr>
          <w:w w:val="99"/>
          <w:sz w:val="32"/>
        </w:rPr>
        <w:t>支出决算为</w:t>
      </w:r>
      <w:r>
        <w:rPr>
          <w:spacing w:val="-79"/>
          <w:sz w:val="32"/>
        </w:rPr>
        <w:t xml:space="preserve"> </w:t>
      </w:r>
      <w:r>
        <w:rPr>
          <w:spacing w:val="1"/>
          <w:w w:val="99"/>
          <w:sz w:val="32"/>
        </w:rPr>
        <w:t>90</w:t>
      </w:r>
      <w:r>
        <w:rPr>
          <w:spacing w:val="-2"/>
          <w:w w:val="99"/>
          <w:sz w:val="32"/>
        </w:rPr>
        <w:t>6</w:t>
      </w:r>
      <w:r>
        <w:rPr>
          <w:spacing w:val="1"/>
          <w:w w:val="99"/>
          <w:sz w:val="32"/>
        </w:rPr>
        <w:t>.7</w:t>
      </w:r>
      <w:r>
        <w:rPr>
          <w:w w:val="99"/>
          <w:sz w:val="32"/>
        </w:rPr>
        <w:t>4</w:t>
      </w:r>
      <w:r>
        <w:rPr>
          <w:spacing w:val="-82"/>
          <w:sz w:val="32"/>
        </w:rPr>
        <w:t xml:space="preserve"> </w:t>
      </w:r>
      <w:r>
        <w:rPr>
          <w:w w:val="99"/>
          <w:sz w:val="32"/>
        </w:rPr>
        <w:t>万元，完成预算</w:t>
      </w:r>
      <w:r>
        <w:rPr>
          <w:spacing w:val="-79"/>
          <w:sz w:val="32"/>
        </w:rPr>
        <w:t xml:space="preserve"> </w:t>
      </w:r>
      <w:r>
        <w:rPr>
          <w:spacing w:val="1"/>
          <w:w w:val="99"/>
          <w:sz w:val="32"/>
        </w:rPr>
        <w:t>10</w:t>
      </w:r>
      <w:r>
        <w:rPr>
          <w:spacing w:val="-2"/>
          <w:w w:val="99"/>
          <w:sz w:val="32"/>
        </w:rPr>
        <w:t>0</w:t>
      </w:r>
      <w:r>
        <w:rPr>
          <w:w w:val="99"/>
          <w:sz w:val="32"/>
        </w:rPr>
        <w:t>%。</w:t>
      </w:r>
    </w:p>
    <w:p>
      <w:pPr>
        <w:pStyle w:val="9"/>
        <w:numPr>
          <w:ilvl w:val="0"/>
          <w:numId w:val="4"/>
        </w:numPr>
        <w:tabs>
          <w:tab w:val="left" w:pos="1072"/>
        </w:tabs>
        <w:spacing w:before="2" w:after="0" w:line="345" w:lineRule="auto"/>
        <w:ind w:left="114" w:right="258" w:firstLine="640"/>
        <w:jc w:val="left"/>
        <w:rPr>
          <w:sz w:val="32"/>
        </w:rPr>
      </w:pPr>
      <w:r>
        <w:rPr>
          <w:b/>
          <w:spacing w:val="-6"/>
          <w:sz w:val="32"/>
        </w:rPr>
        <w:t>卫生健康支出（类）卫生健康管理事务（款）一般行政管</w:t>
      </w:r>
      <w:r>
        <w:rPr>
          <w:b/>
          <w:sz w:val="32"/>
        </w:rPr>
        <w:t>理事务（项）:</w:t>
      </w:r>
      <w:r>
        <w:rPr>
          <w:spacing w:val="-5"/>
          <w:sz w:val="32"/>
        </w:rPr>
        <w:t xml:space="preserve">支出决算为 </w:t>
      </w:r>
      <w:r>
        <w:rPr>
          <w:sz w:val="32"/>
        </w:rPr>
        <w:t>167.27</w:t>
      </w:r>
      <w:r>
        <w:rPr>
          <w:spacing w:val="-9"/>
          <w:sz w:val="32"/>
        </w:rPr>
        <w:t xml:space="preserve"> 万元，完成预算 </w:t>
      </w:r>
      <w:r>
        <w:rPr>
          <w:sz w:val="32"/>
        </w:rPr>
        <w:t>100%。</w:t>
      </w:r>
    </w:p>
    <w:p>
      <w:pPr>
        <w:pStyle w:val="9"/>
        <w:numPr>
          <w:ilvl w:val="0"/>
          <w:numId w:val="4"/>
        </w:numPr>
        <w:tabs>
          <w:tab w:val="left" w:pos="1072"/>
        </w:tabs>
        <w:spacing w:before="2" w:after="0" w:line="345" w:lineRule="auto"/>
        <w:ind w:left="114" w:right="258" w:firstLine="640"/>
        <w:jc w:val="left"/>
        <w:rPr>
          <w:sz w:val="32"/>
        </w:rPr>
      </w:pPr>
      <w:r>
        <w:rPr>
          <w:b/>
          <w:spacing w:val="-6"/>
          <w:sz w:val="32"/>
        </w:rPr>
        <w:t>卫生健康支出（类）卫生健康管理事务（款）其他卫生健</w:t>
      </w:r>
      <w:r>
        <w:rPr>
          <w:b/>
          <w:sz w:val="32"/>
        </w:rPr>
        <w:t>康管理事务（项）:</w:t>
      </w:r>
      <w:r>
        <w:rPr>
          <w:spacing w:val="-9"/>
          <w:sz w:val="32"/>
        </w:rPr>
        <w:t xml:space="preserve">支出决算为 </w:t>
      </w:r>
      <w:r>
        <w:rPr>
          <w:sz w:val="32"/>
        </w:rPr>
        <w:t>201.02</w:t>
      </w:r>
      <w:r>
        <w:rPr>
          <w:spacing w:val="-13"/>
          <w:sz w:val="32"/>
        </w:rPr>
        <w:t xml:space="preserve"> 万元，完成预算 </w:t>
      </w:r>
      <w:r>
        <w:rPr>
          <w:sz w:val="32"/>
        </w:rPr>
        <w:t>100%。</w:t>
      </w:r>
    </w:p>
    <w:p>
      <w:pPr>
        <w:pStyle w:val="9"/>
        <w:numPr>
          <w:ilvl w:val="0"/>
          <w:numId w:val="4"/>
        </w:numPr>
        <w:tabs>
          <w:tab w:val="left" w:pos="1392"/>
        </w:tabs>
        <w:spacing w:before="2" w:after="0" w:line="345" w:lineRule="auto"/>
        <w:ind w:left="114" w:right="254" w:firstLine="640"/>
        <w:jc w:val="left"/>
        <w:rPr>
          <w:sz w:val="32"/>
        </w:rPr>
      </w:pPr>
      <w:r>
        <w:rPr>
          <w:b/>
          <w:spacing w:val="-2"/>
          <w:sz w:val="32"/>
        </w:rPr>
        <w:t>卫生健康支出(类)公立医院(款)综合医院（项</w:t>
      </w:r>
      <w:r>
        <w:rPr>
          <w:b/>
          <w:spacing w:val="-159"/>
          <w:sz w:val="32"/>
        </w:rPr>
        <w:t>）</w:t>
      </w:r>
      <w:r>
        <w:rPr>
          <w:b/>
          <w:spacing w:val="2"/>
          <w:sz w:val="32"/>
        </w:rPr>
        <w:t>：</w:t>
      </w:r>
      <w:r>
        <w:rPr>
          <w:spacing w:val="-2"/>
          <w:sz w:val="32"/>
        </w:rPr>
        <w:t>支出</w:t>
      </w:r>
      <w:r>
        <w:rPr>
          <w:spacing w:val="-8"/>
          <w:sz w:val="32"/>
        </w:rPr>
        <w:t xml:space="preserve">决算为 </w:t>
      </w:r>
      <w:r>
        <w:rPr>
          <w:sz w:val="32"/>
        </w:rPr>
        <w:t>823.93</w:t>
      </w:r>
      <w:r>
        <w:rPr>
          <w:spacing w:val="-9"/>
          <w:sz w:val="32"/>
        </w:rPr>
        <w:t xml:space="preserve"> 万元，完成预算 </w:t>
      </w:r>
      <w:r>
        <w:rPr>
          <w:sz w:val="32"/>
        </w:rPr>
        <w:t>100%。</w:t>
      </w:r>
    </w:p>
    <w:p>
      <w:pPr>
        <w:pStyle w:val="3"/>
        <w:numPr>
          <w:ilvl w:val="0"/>
          <w:numId w:val="4"/>
        </w:numPr>
        <w:tabs>
          <w:tab w:val="left" w:pos="1273"/>
        </w:tabs>
        <w:spacing w:before="0" w:after="0" w:line="365" w:lineRule="exact"/>
        <w:ind w:left="1273" w:right="0" w:hanging="518"/>
        <w:jc w:val="left"/>
      </w:pPr>
      <w:r>
        <w:rPr>
          <w:spacing w:val="-9"/>
        </w:rPr>
        <w:t>卫生健康支出(类)公立医院(款)中医</w:t>
      </w:r>
      <w:r>
        <w:rPr>
          <w:spacing w:val="-2"/>
        </w:rPr>
        <w:t>（民族</w:t>
      </w:r>
      <w:r>
        <w:rPr>
          <w:spacing w:val="-115"/>
        </w:rPr>
        <w:t>）</w:t>
      </w:r>
      <w:r>
        <w:rPr>
          <w:spacing w:val="-60"/>
        </w:rPr>
        <w:t>医院</w:t>
      </w:r>
      <w:r>
        <w:rPr>
          <w:spacing w:val="-2"/>
        </w:rPr>
        <w:t>（项</w:t>
      </w:r>
      <w:r>
        <w:rPr>
          <w:spacing w:val="-169"/>
        </w:rPr>
        <w:t>）</w:t>
      </w:r>
      <w:r>
        <w:rPr>
          <w:spacing w:val="-10"/>
        </w:rPr>
        <w:t>：</w:t>
      </w:r>
    </w:p>
    <w:p>
      <w:pPr>
        <w:pStyle w:val="4"/>
        <w:spacing w:before="208"/>
      </w:pPr>
      <w:r>
        <w:rPr>
          <w:spacing w:val="-15"/>
        </w:rPr>
        <w:t xml:space="preserve">支出决算为 </w:t>
      </w:r>
      <w:r>
        <w:rPr>
          <w:spacing w:val="-4"/>
        </w:rPr>
        <w:t>370.72</w:t>
      </w:r>
      <w:r>
        <w:rPr>
          <w:spacing w:val="-20"/>
        </w:rPr>
        <w:t xml:space="preserve"> 万元，完成预算 </w:t>
      </w:r>
      <w:r>
        <w:rPr>
          <w:spacing w:val="-4"/>
        </w:rPr>
        <w:t>100</w:t>
      </w:r>
      <w:r>
        <w:rPr>
          <w:spacing w:val="-7"/>
        </w:rPr>
        <w:t>%。</w:t>
      </w:r>
    </w:p>
    <w:p>
      <w:pPr>
        <w:pStyle w:val="9"/>
        <w:numPr>
          <w:ilvl w:val="0"/>
          <w:numId w:val="4"/>
        </w:numPr>
        <w:tabs>
          <w:tab w:val="left" w:pos="1231"/>
        </w:tabs>
        <w:spacing w:before="400" w:after="0" w:line="345" w:lineRule="auto"/>
        <w:ind w:left="114" w:right="256" w:firstLine="640"/>
        <w:jc w:val="left"/>
        <w:rPr>
          <w:sz w:val="32"/>
        </w:rPr>
      </w:pPr>
      <w:r>
        <w:rPr>
          <w:b/>
          <w:spacing w:val="-6"/>
          <w:sz w:val="32"/>
        </w:rPr>
        <w:t>卫生健康支出(类)公立医院(款)传染病医院</w:t>
      </w:r>
      <w:r>
        <w:rPr>
          <w:b/>
          <w:spacing w:val="-2"/>
          <w:sz w:val="32"/>
        </w:rPr>
        <w:t>（项</w:t>
      </w:r>
      <w:r>
        <w:rPr>
          <w:b/>
          <w:spacing w:val="-117"/>
          <w:sz w:val="32"/>
        </w:rPr>
        <w:t>）：</w:t>
      </w:r>
      <w:r>
        <w:rPr>
          <w:spacing w:val="-2"/>
          <w:sz w:val="32"/>
        </w:rPr>
        <w:t>支出</w:t>
      </w:r>
      <w:r>
        <w:rPr>
          <w:spacing w:val="-8"/>
          <w:sz w:val="32"/>
        </w:rPr>
        <w:t xml:space="preserve">决算为 </w:t>
      </w:r>
      <w:r>
        <w:rPr>
          <w:sz w:val="32"/>
        </w:rPr>
        <w:t>165</w:t>
      </w:r>
      <w:r>
        <w:rPr>
          <w:spacing w:val="-9"/>
          <w:sz w:val="32"/>
        </w:rPr>
        <w:t xml:space="preserve"> 万元，完成预算 </w:t>
      </w:r>
      <w:r>
        <w:rPr>
          <w:sz w:val="32"/>
        </w:rPr>
        <w:t>100%。</w:t>
      </w:r>
    </w:p>
    <w:p>
      <w:pPr>
        <w:pStyle w:val="3"/>
        <w:numPr>
          <w:ilvl w:val="0"/>
          <w:numId w:val="4"/>
        </w:numPr>
        <w:tabs>
          <w:tab w:val="left" w:pos="1232"/>
        </w:tabs>
        <w:spacing w:before="0" w:after="0" w:line="365" w:lineRule="exact"/>
        <w:ind w:left="1232" w:right="0" w:hanging="477"/>
        <w:jc w:val="left"/>
      </w:pPr>
      <w:r>
        <w:rPr>
          <w:spacing w:val="-7"/>
          <w:w w:val="95"/>
        </w:rPr>
        <w:t>卫生健康支出(类)公立医院(款)其他公立医院支出</w:t>
      </w:r>
      <w:r>
        <w:rPr>
          <w:w w:val="95"/>
        </w:rPr>
        <w:t>（项</w:t>
      </w:r>
      <w:r>
        <w:rPr>
          <w:spacing w:val="-164"/>
          <w:w w:val="95"/>
        </w:rPr>
        <w:t>）</w:t>
      </w:r>
      <w:r>
        <w:rPr>
          <w:spacing w:val="-5"/>
          <w:w w:val="94"/>
        </w:rPr>
        <w:t>:</w:t>
      </w:r>
    </w:p>
    <w:p>
      <w:pPr>
        <w:pStyle w:val="4"/>
        <w:spacing w:before="208"/>
      </w:pPr>
      <w:r>
        <w:rPr>
          <w:spacing w:val="-15"/>
        </w:rPr>
        <w:t xml:space="preserve">支出决算为 </w:t>
      </w:r>
      <w:r>
        <w:rPr>
          <w:spacing w:val="-4"/>
        </w:rPr>
        <w:t>1388.73</w:t>
      </w:r>
      <w:r>
        <w:rPr>
          <w:spacing w:val="-20"/>
        </w:rPr>
        <w:t xml:space="preserve"> 万元，完成预算 </w:t>
      </w:r>
      <w:r>
        <w:rPr>
          <w:spacing w:val="-4"/>
        </w:rPr>
        <w:t>100</w:t>
      </w:r>
      <w:r>
        <w:rPr>
          <w:spacing w:val="-7"/>
        </w:rPr>
        <w:t>%。</w:t>
      </w:r>
    </w:p>
    <w:p>
      <w:pPr>
        <w:pStyle w:val="9"/>
        <w:numPr>
          <w:ilvl w:val="0"/>
          <w:numId w:val="4"/>
        </w:numPr>
        <w:tabs>
          <w:tab w:val="left" w:pos="1231"/>
        </w:tabs>
        <w:spacing w:before="347" w:after="0" w:line="360" w:lineRule="auto"/>
        <w:ind w:left="114" w:right="94" w:firstLine="640"/>
        <w:jc w:val="left"/>
        <w:rPr>
          <w:sz w:val="32"/>
        </w:rPr>
      </w:pPr>
      <w:r>
        <w:rPr>
          <w:b/>
          <w:spacing w:val="-9"/>
          <w:sz w:val="32"/>
        </w:rPr>
        <w:t>卫生健康支出(类)公共卫生(款)疾病预防控制机构</w:t>
      </w:r>
      <w:r>
        <w:rPr>
          <w:b/>
          <w:spacing w:val="-2"/>
          <w:sz w:val="32"/>
        </w:rPr>
        <w:t>（项</w:t>
      </w:r>
      <w:r>
        <w:rPr>
          <w:b/>
          <w:spacing w:val="-159"/>
          <w:sz w:val="32"/>
        </w:rPr>
        <w:t>）</w:t>
      </w:r>
      <w:r>
        <w:rPr>
          <w:b/>
          <w:w w:val="99"/>
          <w:sz w:val="32"/>
        </w:rPr>
        <w:t>:</w:t>
      </w:r>
      <w:r>
        <w:rPr>
          <w:spacing w:val="-5"/>
          <w:sz w:val="32"/>
        </w:rPr>
        <w:t xml:space="preserve">支出决算为 </w:t>
      </w:r>
      <w:r>
        <w:rPr>
          <w:sz w:val="32"/>
        </w:rPr>
        <w:t>1,859.11</w:t>
      </w:r>
      <w:r>
        <w:rPr>
          <w:spacing w:val="-9"/>
          <w:sz w:val="32"/>
        </w:rPr>
        <w:t xml:space="preserve"> 万元，完成预算 </w:t>
      </w:r>
      <w:r>
        <w:rPr>
          <w:sz w:val="32"/>
        </w:rPr>
        <w:t>100%。</w:t>
      </w:r>
    </w:p>
    <w:p>
      <w:pPr>
        <w:pStyle w:val="9"/>
        <w:numPr>
          <w:ilvl w:val="0"/>
          <w:numId w:val="4"/>
        </w:numPr>
        <w:tabs>
          <w:tab w:val="left" w:pos="1238"/>
        </w:tabs>
        <w:spacing w:before="141" w:after="0" w:line="360" w:lineRule="auto"/>
        <w:ind w:left="114" w:right="255" w:firstLine="640"/>
        <w:jc w:val="left"/>
        <w:rPr>
          <w:sz w:val="32"/>
        </w:rPr>
      </w:pPr>
      <w:r>
        <w:rPr>
          <w:b/>
          <w:spacing w:val="-2"/>
          <w:sz w:val="32"/>
        </w:rPr>
        <w:t>卫生健康支出(类)公共卫生(款)卫生监督机构（项）:</w:t>
      </w:r>
      <w:r>
        <w:rPr>
          <w:spacing w:val="-5"/>
          <w:sz w:val="32"/>
        </w:rPr>
        <w:t xml:space="preserve">支出决算为 </w:t>
      </w:r>
      <w:r>
        <w:rPr>
          <w:sz w:val="32"/>
        </w:rPr>
        <w:t>749.85</w:t>
      </w:r>
      <w:r>
        <w:rPr>
          <w:spacing w:val="-9"/>
          <w:sz w:val="32"/>
        </w:rPr>
        <w:t xml:space="preserve"> 万元，完成预算 </w:t>
      </w:r>
      <w:r>
        <w:rPr>
          <w:sz w:val="32"/>
        </w:rPr>
        <w:t>100%。</w:t>
      </w:r>
    </w:p>
    <w:p>
      <w:pPr>
        <w:pStyle w:val="9"/>
        <w:numPr>
          <w:ilvl w:val="0"/>
          <w:numId w:val="4"/>
        </w:numPr>
        <w:tabs>
          <w:tab w:val="left" w:pos="1238"/>
        </w:tabs>
        <w:spacing w:before="140" w:after="0" w:line="360" w:lineRule="auto"/>
        <w:ind w:left="114" w:right="255" w:firstLine="640"/>
        <w:jc w:val="left"/>
        <w:rPr>
          <w:sz w:val="32"/>
        </w:rPr>
      </w:pPr>
      <w:r>
        <w:rPr>
          <w:b/>
          <w:spacing w:val="-2"/>
          <w:sz w:val="32"/>
        </w:rPr>
        <w:t>卫生健康支出(类)公共卫生(款)妇幼保健机构（项）:</w:t>
      </w:r>
      <w:r>
        <w:rPr>
          <w:spacing w:val="-5"/>
          <w:sz w:val="32"/>
        </w:rPr>
        <w:t xml:space="preserve">支出决算为 </w:t>
      </w:r>
      <w:r>
        <w:rPr>
          <w:sz w:val="32"/>
        </w:rPr>
        <w:t>268.02</w:t>
      </w:r>
      <w:r>
        <w:rPr>
          <w:spacing w:val="-9"/>
          <w:sz w:val="32"/>
        </w:rPr>
        <w:t xml:space="preserve"> 万元，完成预算 </w:t>
      </w:r>
      <w:r>
        <w:rPr>
          <w:sz w:val="32"/>
        </w:rPr>
        <w:t>100%。</w:t>
      </w:r>
    </w:p>
    <w:p>
      <w:pPr>
        <w:pStyle w:val="9"/>
        <w:spacing w:after="0" w:line="360" w:lineRule="auto"/>
        <w:jc w:val="left"/>
        <w:rPr>
          <w:sz w:val="32"/>
        </w:rPr>
        <w:sectPr>
          <w:pgSz w:w="11910" w:h="16840"/>
          <w:pgMar w:top="1640" w:right="1275" w:bottom="900" w:left="1417" w:header="0" w:footer="700" w:gutter="0"/>
          <w:cols w:space="720" w:num="1"/>
        </w:sectPr>
      </w:pPr>
    </w:p>
    <w:p>
      <w:pPr>
        <w:pStyle w:val="9"/>
        <w:numPr>
          <w:ilvl w:val="0"/>
          <w:numId w:val="4"/>
        </w:numPr>
        <w:tabs>
          <w:tab w:val="left" w:pos="1394"/>
        </w:tabs>
        <w:spacing w:before="35" w:after="0" w:line="367" w:lineRule="auto"/>
        <w:ind w:left="114" w:right="100" w:firstLine="643"/>
        <w:jc w:val="left"/>
        <w:rPr>
          <w:sz w:val="32"/>
        </w:rPr>
      </w:pPr>
      <w:r>
        <w:rPr>
          <w:b/>
          <w:spacing w:val="-2"/>
          <w:sz w:val="32"/>
        </w:rPr>
        <w:t>卫生健康支出(类)公共卫生(款)应急救治机构（项）：</w:t>
      </w:r>
      <w:r>
        <w:rPr>
          <w:spacing w:val="-5"/>
          <w:sz w:val="32"/>
        </w:rPr>
        <w:t xml:space="preserve">支出决算为 </w:t>
      </w:r>
      <w:r>
        <w:rPr>
          <w:sz w:val="32"/>
        </w:rPr>
        <w:t>368.36</w:t>
      </w:r>
      <w:r>
        <w:rPr>
          <w:spacing w:val="-9"/>
          <w:sz w:val="32"/>
        </w:rPr>
        <w:t xml:space="preserve"> 万元，完成预算 </w:t>
      </w:r>
      <w:r>
        <w:rPr>
          <w:sz w:val="32"/>
        </w:rPr>
        <w:t>100%。</w:t>
      </w:r>
    </w:p>
    <w:p>
      <w:pPr>
        <w:pStyle w:val="9"/>
        <w:numPr>
          <w:ilvl w:val="0"/>
          <w:numId w:val="4"/>
        </w:numPr>
        <w:tabs>
          <w:tab w:val="left" w:pos="1354"/>
        </w:tabs>
        <w:spacing w:before="38" w:after="0" w:line="360" w:lineRule="auto"/>
        <w:ind w:left="114" w:right="255" w:firstLine="640"/>
        <w:jc w:val="left"/>
        <w:rPr>
          <w:sz w:val="32"/>
        </w:rPr>
      </w:pPr>
      <w:r>
        <w:rPr>
          <w:b/>
          <w:spacing w:val="-4"/>
          <w:sz w:val="32"/>
        </w:rPr>
        <w:t>卫生健康支出(类)公共卫生(款)采供血机构（项）：</w:t>
      </w:r>
      <w:r>
        <w:rPr>
          <w:spacing w:val="-4"/>
          <w:sz w:val="32"/>
        </w:rPr>
        <w:t>支</w:t>
      </w:r>
      <w:r>
        <w:rPr>
          <w:spacing w:val="-6"/>
          <w:sz w:val="32"/>
        </w:rPr>
        <w:t xml:space="preserve">出决算为 </w:t>
      </w:r>
      <w:r>
        <w:rPr>
          <w:sz w:val="32"/>
        </w:rPr>
        <w:t>2,740.65</w:t>
      </w:r>
      <w:r>
        <w:rPr>
          <w:spacing w:val="-9"/>
          <w:sz w:val="32"/>
        </w:rPr>
        <w:t xml:space="preserve"> 万元，完成预算 </w:t>
      </w:r>
      <w:r>
        <w:rPr>
          <w:sz w:val="32"/>
        </w:rPr>
        <w:t>100%。</w:t>
      </w:r>
    </w:p>
    <w:p>
      <w:pPr>
        <w:pStyle w:val="3"/>
        <w:numPr>
          <w:ilvl w:val="0"/>
          <w:numId w:val="4"/>
        </w:numPr>
        <w:tabs>
          <w:tab w:val="left" w:pos="1232"/>
        </w:tabs>
        <w:spacing w:before="139" w:after="0" w:line="240" w:lineRule="auto"/>
        <w:ind w:left="1232" w:right="0" w:hanging="477"/>
        <w:jc w:val="left"/>
      </w:pPr>
      <w:r>
        <w:rPr>
          <w:spacing w:val="-2"/>
        </w:rPr>
        <w:t>卫生健康支出（类）公共卫生（款）</w:t>
      </w:r>
      <w:r>
        <w:rPr>
          <w:spacing w:val="-4"/>
        </w:rPr>
        <w:t>基本公共卫生服务</w:t>
      </w:r>
    </w:p>
    <w:p>
      <w:pPr>
        <w:pStyle w:val="4"/>
        <w:spacing w:before="208"/>
      </w:pPr>
      <w:r>
        <w:rPr>
          <w:b/>
          <w:spacing w:val="-4"/>
        </w:rPr>
        <w:t>（项）:</w:t>
      </w:r>
      <w:r>
        <w:rPr>
          <w:spacing w:val="-14"/>
        </w:rPr>
        <w:t xml:space="preserve">支出决算为 </w:t>
      </w:r>
      <w:r>
        <w:rPr>
          <w:spacing w:val="-4"/>
        </w:rPr>
        <w:t>65.63</w:t>
      </w:r>
      <w:r>
        <w:rPr>
          <w:spacing w:val="-19"/>
        </w:rPr>
        <w:t xml:space="preserve"> 万元，完成预算 </w:t>
      </w:r>
      <w:r>
        <w:rPr>
          <w:spacing w:val="-4"/>
        </w:rPr>
        <w:t>100</w:t>
      </w:r>
      <w:r>
        <w:rPr>
          <w:spacing w:val="-7"/>
        </w:rPr>
        <w:t>%。</w:t>
      </w:r>
    </w:p>
    <w:p>
      <w:pPr>
        <w:pStyle w:val="3"/>
        <w:numPr>
          <w:ilvl w:val="0"/>
          <w:numId w:val="4"/>
        </w:numPr>
        <w:tabs>
          <w:tab w:val="left" w:pos="1431"/>
        </w:tabs>
        <w:spacing w:before="347" w:after="0" w:line="240" w:lineRule="auto"/>
        <w:ind w:left="1431" w:right="0" w:hanging="676"/>
        <w:jc w:val="left"/>
      </w:pPr>
      <w:r>
        <w:rPr>
          <w:spacing w:val="14"/>
        </w:rPr>
        <w:t>卫生健康支出(类)公共卫生(款)重大公共卫生专项</w:t>
      </w:r>
    </w:p>
    <w:p>
      <w:pPr>
        <w:pStyle w:val="4"/>
        <w:spacing w:before="208"/>
      </w:pPr>
      <w:r>
        <w:rPr>
          <w:b/>
          <w:spacing w:val="-4"/>
        </w:rPr>
        <w:t>（项</w:t>
      </w:r>
      <w:r>
        <w:rPr>
          <w:b/>
          <w:spacing w:val="-159"/>
        </w:rPr>
        <w:t>）</w:t>
      </w:r>
      <w:r>
        <w:rPr>
          <w:b/>
          <w:spacing w:val="2"/>
        </w:rPr>
        <w:t>：</w:t>
      </w:r>
      <w:r>
        <w:rPr>
          <w:spacing w:val="-15"/>
        </w:rPr>
        <w:t xml:space="preserve">支出决算为 </w:t>
      </w:r>
      <w:r>
        <w:rPr>
          <w:spacing w:val="-4"/>
        </w:rPr>
        <w:t>1,378.76</w:t>
      </w:r>
      <w:r>
        <w:rPr>
          <w:spacing w:val="-19"/>
        </w:rPr>
        <w:t xml:space="preserve"> 万元，完成预算 </w:t>
      </w:r>
      <w:r>
        <w:rPr>
          <w:spacing w:val="-4"/>
        </w:rPr>
        <w:t>100</w:t>
      </w:r>
      <w:r>
        <w:rPr>
          <w:spacing w:val="-7"/>
        </w:rPr>
        <w:t>%。</w:t>
      </w:r>
    </w:p>
    <w:p>
      <w:pPr>
        <w:pStyle w:val="9"/>
        <w:numPr>
          <w:ilvl w:val="0"/>
          <w:numId w:val="4"/>
        </w:numPr>
        <w:tabs>
          <w:tab w:val="left" w:pos="1231"/>
        </w:tabs>
        <w:spacing w:before="402" w:after="0" w:line="345" w:lineRule="auto"/>
        <w:ind w:left="114" w:right="258" w:firstLine="640"/>
        <w:jc w:val="left"/>
        <w:rPr>
          <w:sz w:val="32"/>
        </w:rPr>
      </w:pPr>
      <w:r>
        <w:rPr>
          <w:b/>
          <w:spacing w:val="-2"/>
          <w:sz w:val="32"/>
        </w:rPr>
        <w:t>卫生健康支出（类）公共卫生（款）突发公共卫生事件</w:t>
      </w:r>
      <w:r>
        <w:rPr>
          <w:b/>
          <w:sz w:val="32"/>
        </w:rPr>
        <w:t>应急处理（项）:</w:t>
      </w:r>
      <w:r>
        <w:rPr>
          <w:spacing w:val="-9"/>
          <w:sz w:val="32"/>
        </w:rPr>
        <w:t xml:space="preserve">支出决算为 </w:t>
      </w:r>
      <w:r>
        <w:rPr>
          <w:sz w:val="32"/>
        </w:rPr>
        <w:t>3,079.53</w:t>
      </w:r>
      <w:r>
        <w:rPr>
          <w:spacing w:val="-13"/>
          <w:sz w:val="32"/>
        </w:rPr>
        <w:t xml:space="preserve"> 万元，完成预算 </w:t>
      </w:r>
      <w:r>
        <w:rPr>
          <w:sz w:val="32"/>
        </w:rPr>
        <w:t>100%。</w:t>
      </w:r>
    </w:p>
    <w:p>
      <w:pPr>
        <w:pStyle w:val="3"/>
        <w:numPr>
          <w:ilvl w:val="0"/>
          <w:numId w:val="4"/>
        </w:numPr>
        <w:tabs>
          <w:tab w:val="left" w:pos="1232"/>
        </w:tabs>
        <w:spacing w:before="0" w:after="0" w:line="365" w:lineRule="exact"/>
        <w:ind w:left="1232" w:right="0" w:hanging="477"/>
        <w:jc w:val="left"/>
      </w:pPr>
      <w:r>
        <w:rPr>
          <w:spacing w:val="-2"/>
        </w:rPr>
        <w:t>卫生健康支出（类）公共卫生（款）</w:t>
      </w:r>
      <w:r>
        <w:rPr>
          <w:spacing w:val="-4"/>
        </w:rPr>
        <w:t>其他公共卫生支出</w:t>
      </w:r>
    </w:p>
    <w:p>
      <w:pPr>
        <w:pStyle w:val="4"/>
        <w:spacing w:before="208"/>
      </w:pPr>
      <w:r>
        <w:rPr>
          <w:b/>
          <w:spacing w:val="-4"/>
        </w:rPr>
        <w:t>（项）:</w:t>
      </w:r>
      <w:r>
        <w:rPr>
          <w:spacing w:val="-15"/>
        </w:rPr>
        <w:t xml:space="preserve">支出决算为 </w:t>
      </w:r>
      <w:r>
        <w:rPr>
          <w:spacing w:val="-4"/>
        </w:rPr>
        <w:t>190.35</w:t>
      </w:r>
      <w:r>
        <w:rPr>
          <w:spacing w:val="-18"/>
        </w:rPr>
        <w:t xml:space="preserve"> 万元，完成预算 </w:t>
      </w:r>
      <w:r>
        <w:rPr>
          <w:spacing w:val="-4"/>
        </w:rPr>
        <w:t>100</w:t>
      </w:r>
      <w:r>
        <w:rPr>
          <w:spacing w:val="-7"/>
        </w:rPr>
        <w:t>%。</w:t>
      </w:r>
    </w:p>
    <w:p>
      <w:pPr>
        <w:pStyle w:val="9"/>
        <w:numPr>
          <w:ilvl w:val="0"/>
          <w:numId w:val="4"/>
        </w:numPr>
        <w:tabs>
          <w:tab w:val="left" w:pos="1231"/>
        </w:tabs>
        <w:spacing w:before="400" w:after="0" w:line="345" w:lineRule="auto"/>
        <w:ind w:left="114" w:right="256" w:firstLine="640"/>
        <w:jc w:val="left"/>
        <w:rPr>
          <w:sz w:val="32"/>
        </w:rPr>
      </w:pPr>
      <w:r>
        <w:rPr>
          <w:b/>
          <w:spacing w:val="-2"/>
          <w:sz w:val="32"/>
        </w:rPr>
        <w:t>卫生健康支出（类）中医药（款）中医（民族医）药专</w:t>
      </w:r>
      <w:r>
        <w:rPr>
          <w:b/>
          <w:sz w:val="32"/>
        </w:rPr>
        <w:t>项（项）:</w:t>
      </w:r>
      <w:r>
        <w:rPr>
          <w:spacing w:val="-5"/>
          <w:sz w:val="32"/>
        </w:rPr>
        <w:t xml:space="preserve">支出决算为 </w:t>
      </w:r>
      <w:r>
        <w:rPr>
          <w:sz w:val="32"/>
        </w:rPr>
        <w:t>780.36</w:t>
      </w:r>
      <w:r>
        <w:rPr>
          <w:spacing w:val="-9"/>
          <w:sz w:val="32"/>
        </w:rPr>
        <w:t xml:space="preserve"> 万元，完成预算 </w:t>
      </w:r>
      <w:r>
        <w:rPr>
          <w:sz w:val="32"/>
        </w:rPr>
        <w:t>100%。</w:t>
      </w:r>
    </w:p>
    <w:p>
      <w:pPr>
        <w:pStyle w:val="3"/>
        <w:numPr>
          <w:ilvl w:val="0"/>
          <w:numId w:val="4"/>
        </w:numPr>
        <w:tabs>
          <w:tab w:val="left" w:pos="1232"/>
        </w:tabs>
        <w:spacing w:before="2" w:after="0" w:line="240" w:lineRule="auto"/>
        <w:ind w:left="1232" w:right="0" w:hanging="477"/>
        <w:jc w:val="left"/>
      </w:pPr>
      <w:r>
        <w:rPr>
          <w:spacing w:val="-2"/>
        </w:rPr>
        <w:t>卫生健康支出（类）计划生育事务（款）</w:t>
      </w:r>
      <w:r>
        <w:rPr>
          <w:spacing w:val="-4"/>
        </w:rPr>
        <w:t>计划生育机构</w:t>
      </w:r>
    </w:p>
    <w:p>
      <w:pPr>
        <w:pStyle w:val="4"/>
        <w:spacing w:before="184"/>
      </w:pPr>
      <w:r>
        <w:rPr>
          <w:b/>
          <w:spacing w:val="-4"/>
        </w:rPr>
        <w:t>（项）:</w:t>
      </w:r>
      <w:r>
        <w:rPr>
          <w:spacing w:val="-15"/>
        </w:rPr>
        <w:t xml:space="preserve">支出决算为 </w:t>
      </w:r>
      <w:r>
        <w:rPr>
          <w:spacing w:val="-4"/>
        </w:rPr>
        <w:t>4.00</w:t>
      </w:r>
      <w:r>
        <w:rPr>
          <w:spacing w:val="-19"/>
        </w:rPr>
        <w:t xml:space="preserve"> 万元，完成预算 </w:t>
      </w:r>
      <w:r>
        <w:rPr>
          <w:spacing w:val="-4"/>
        </w:rPr>
        <w:t>100</w:t>
      </w:r>
      <w:r>
        <w:rPr>
          <w:spacing w:val="-7"/>
        </w:rPr>
        <w:t>%。</w:t>
      </w:r>
    </w:p>
    <w:p>
      <w:pPr>
        <w:pStyle w:val="9"/>
        <w:numPr>
          <w:ilvl w:val="0"/>
          <w:numId w:val="4"/>
        </w:numPr>
        <w:tabs>
          <w:tab w:val="left" w:pos="1231"/>
        </w:tabs>
        <w:spacing w:before="184" w:after="0" w:line="345" w:lineRule="auto"/>
        <w:ind w:left="114" w:right="256" w:firstLine="640"/>
        <w:jc w:val="left"/>
        <w:rPr>
          <w:sz w:val="32"/>
        </w:rPr>
      </w:pPr>
      <w:r>
        <w:rPr>
          <w:b/>
          <w:spacing w:val="-2"/>
          <w:sz w:val="32"/>
        </w:rPr>
        <w:t>卫生健康支出（类）计划生育事务（款）其他计划生育</w:t>
      </w:r>
      <w:r>
        <w:rPr>
          <w:b/>
          <w:sz w:val="32"/>
        </w:rPr>
        <w:t>事务支出（项）:</w:t>
      </w:r>
      <w:r>
        <w:rPr>
          <w:spacing w:val="-5"/>
          <w:sz w:val="32"/>
        </w:rPr>
        <w:t xml:space="preserve">支出决算为 </w:t>
      </w:r>
      <w:r>
        <w:rPr>
          <w:sz w:val="32"/>
        </w:rPr>
        <w:t>99.92</w:t>
      </w:r>
      <w:r>
        <w:rPr>
          <w:spacing w:val="-9"/>
          <w:sz w:val="32"/>
        </w:rPr>
        <w:t xml:space="preserve"> 万元，完成预算 </w:t>
      </w:r>
      <w:r>
        <w:rPr>
          <w:sz w:val="32"/>
        </w:rPr>
        <w:t>100%。</w:t>
      </w:r>
    </w:p>
    <w:p>
      <w:pPr>
        <w:pStyle w:val="9"/>
        <w:numPr>
          <w:ilvl w:val="0"/>
          <w:numId w:val="4"/>
        </w:numPr>
        <w:tabs>
          <w:tab w:val="left" w:pos="1231"/>
        </w:tabs>
        <w:spacing w:before="2" w:after="0" w:line="345" w:lineRule="auto"/>
        <w:ind w:left="114" w:right="256" w:firstLine="640"/>
        <w:jc w:val="left"/>
        <w:rPr>
          <w:sz w:val="32"/>
        </w:rPr>
      </w:pPr>
      <w:r>
        <w:rPr>
          <w:b/>
          <w:spacing w:val="-2"/>
          <w:sz w:val="32"/>
        </w:rPr>
        <w:t>卫生健康支出（类）行政事业单位医疗（款）行政单位</w:t>
      </w:r>
      <w:r>
        <w:rPr>
          <w:b/>
          <w:sz w:val="32"/>
        </w:rPr>
        <w:t>医疗（项）:</w:t>
      </w:r>
      <w:r>
        <w:rPr>
          <w:spacing w:val="-5"/>
          <w:sz w:val="32"/>
        </w:rPr>
        <w:t xml:space="preserve">支出决算为 </w:t>
      </w:r>
      <w:r>
        <w:rPr>
          <w:sz w:val="32"/>
        </w:rPr>
        <w:t>62.88</w:t>
      </w:r>
      <w:r>
        <w:rPr>
          <w:spacing w:val="-9"/>
          <w:sz w:val="32"/>
        </w:rPr>
        <w:t xml:space="preserve"> 万元，完成预算 </w:t>
      </w:r>
      <w:r>
        <w:rPr>
          <w:sz w:val="32"/>
        </w:rPr>
        <w:t>100%。</w:t>
      </w:r>
    </w:p>
    <w:p>
      <w:pPr>
        <w:pStyle w:val="3"/>
        <w:numPr>
          <w:ilvl w:val="0"/>
          <w:numId w:val="4"/>
        </w:numPr>
        <w:tabs>
          <w:tab w:val="left" w:pos="1232"/>
        </w:tabs>
        <w:spacing w:before="2" w:after="0" w:line="240" w:lineRule="auto"/>
        <w:ind w:left="1232" w:right="0" w:hanging="477"/>
        <w:jc w:val="left"/>
      </w:pPr>
      <w:r>
        <w:rPr>
          <w:spacing w:val="-2"/>
        </w:rPr>
        <w:t>卫生健康支出（类）行政事业单位医疗（款）</w:t>
      </w:r>
      <w:r>
        <w:rPr>
          <w:spacing w:val="-4"/>
        </w:rPr>
        <w:t>事业单位</w:t>
      </w:r>
    </w:p>
    <w:p>
      <w:pPr>
        <w:pStyle w:val="3"/>
        <w:spacing w:after="0" w:line="240" w:lineRule="auto"/>
        <w:jc w:val="left"/>
        <w:sectPr>
          <w:pgSz w:w="11910" w:h="16840"/>
          <w:pgMar w:top="1700" w:right="1275" w:bottom="900" w:left="1417" w:header="0" w:footer="700" w:gutter="0"/>
          <w:cols w:space="720" w:num="1"/>
        </w:sectPr>
      </w:pPr>
    </w:p>
    <w:p>
      <w:pPr>
        <w:pStyle w:val="4"/>
        <w:spacing w:before="28"/>
      </w:pPr>
      <w:r>
        <w:rPr>
          <w:b/>
          <w:spacing w:val="-2"/>
        </w:rPr>
        <w:t>医疗（项）:</w:t>
      </w:r>
      <w:r>
        <w:rPr>
          <w:spacing w:val="-15"/>
        </w:rPr>
        <w:t xml:space="preserve">支出决算为 </w:t>
      </w:r>
      <w:r>
        <w:rPr>
          <w:spacing w:val="-2"/>
        </w:rPr>
        <w:t>132.16</w:t>
      </w:r>
      <w:r>
        <w:rPr>
          <w:spacing w:val="-22"/>
        </w:rPr>
        <w:t xml:space="preserve"> 万元，完成预算 </w:t>
      </w:r>
      <w:r>
        <w:rPr>
          <w:spacing w:val="-2"/>
        </w:rPr>
        <w:t>100</w:t>
      </w:r>
      <w:r>
        <w:rPr>
          <w:spacing w:val="-6"/>
        </w:rPr>
        <w:t>%。</w:t>
      </w:r>
    </w:p>
    <w:p>
      <w:pPr>
        <w:pStyle w:val="9"/>
        <w:numPr>
          <w:ilvl w:val="0"/>
          <w:numId w:val="4"/>
        </w:numPr>
        <w:tabs>
          <w:tab w:val="left" w:pos="1231"/>
        </w:tabs>
        <w:spacing w:before="184" w:after="0" w:line="345" w:lineRule="auto"/>
        <w:ind w:left="114" w:right="256" w:firstLine="640"/>
        <w:jc w:val="left"/>
        <w:rPr>
          <w:sz w:val="32"/>
        </w:rPr>
      </w:pPr>
      <w:r>
        <w:rPr>
          <w:b/>
          <w:spacing w:val="-2"/>
          <w:sz w:val="32"/>
        </w:rPr>
        <w:t>卫生健康（类）其他卫生健康支出（款）其他卫生健康</w:t>
      </w:r>
      <w:r>
        <w:rPr>
          <w:b/>
          <w:sz w:val="32"/>
        </w:rPr>
        <w:t>支出（项）:</w:t>
      </w:r>
      <w:r>
        <w:rPr>
          <w:spacing w:val="-6"/>
          <w:sz w:val="32"/>
        </w:rPr>
        <w:t xml:space="preserve">支出决算为 </w:t>
      </w:r>
      <w:r>
        <w:rPr>
          <w:sz w:val="32"/>
        </w:rPr>
        <w:t>7,492.45</w:t>
      </w:r>
      <w:r>
        <w:rPr>
          <w:spacing w:val="-10"/>
          <w:sz w:val="32"/>
        </w:rPr>
        <w:t xml:space="preserve"> 万元，完成预算 </w:t>
      </w:r>
      <w:r>
        <w:rPr>
          <w:sz w:val="32"/>
        </w:rPr>
        <w:t>100%。</w:t>
      </w:r>
    </w:p>
    <w:p>
      <w:pPr>
        <w:pStyle w:val="9"/>
        <w:numPr>
          <w:ilvl w:val="0"/>
          <w:numId w:val="4"/>
        </w:numPr>
        <w:tabs>
          <w:tab w:val="left" w:pos="1231"/>
        </w:tabs>
        <w:spacing w:before="2" w:after="0" w:line="345" w:lineRule="auto"/>
        <w:ind w:left="114" w:right="257" w:firstLine="640"/>
        <w:jc w:val="left"/>
        <w:rPr>
          <w:sz w:val="32"/>
        </w:rPr>
      </w:pPr>
      <w:r>
        <w:rPr>
          <w:b/>
          <w:spacing w:val="-23"/>
          <w:sz w:val="32"/>
        </w:rPr>
        <w:t>住房保障支出</w:t>
      </w:r>
      <w:r>
        <w:rPr>
          <w:b/>
          <w:spacing w:val="-2"/>
          <w:sz w:val="32"/>
        </w:rPr>
        <w:t>（类</w:t>
      </w:r>
      <w:r>
        <w:rPr>
          <w:b/>
          <w:spacing w:val="-125"/>
          <w:sz w:val="32"/>
        </w:rPr>
        <w:t>）</w:t>
      </w:r>
      <w:r>
        <w:rPr>
          <w:b/>
          <w:spacing w:val="-23"/>
          <w:sz w:val="32"/>
        </w:rPr>
        <w:t>住房改革支出</w:t>
      </w:r>
      <w:r>
        <w:rPr>
          <w:b/>
          <w:spacing w:val="-2"/>
          <w:sz w:val="32"/>
        </w:rPr>
        <w:t>（款</w:t>
      </w:r>
      <w:r>
        <w:rPr>
          <w:b/>
          <w:spacing w:val="-125"/>
          <w:sz w:val="32"/>
        </w:rPr>
        <w:t>）</w:t>
      </w:r>
      <w:r>
        <w:rPr>
          <w:b/>
          <w:spacing w:val="-27"/>
          <w:sz w:val="32"/>
        </w:rPr>
        <w:t>住房公积金</w:t>
      </w:r>
      <w:r>
        <w:rPr>
          <w:b/>
          <w:spacing w:val="-2"/>
          <w:sz w:val="32"/>
        </w:rPr>
        <w:t>（项</w:t>
      </w:r>
      <w:r>
        <w:rPr>
          <w:b/>
          <w:spacing w:val="-161"/>
          <w:sz w:val="32"/>
        </w:rPr>
        <w:t>）</w:t>
      </w:r>
      <w:r>
        <w:rPr>
          <w:b/>
          <w:w w:val="99"/>
          <w:sz w:val="32"/>
        </w:rPr>
        <w:t>:</w:t>
      </w:r>
      <w:r>
        <w:rPr>
          <w:spacing w:val="-5"/>
          <w:sz w:val="32"/>
        </w:rPr>
        <w:t xml:space="preserve">支出决算为 </w:t>
      </w:r>
      <w:r>
        <w:rPr>
          <w:sz w:val="32"/>
        </w:rPr>
        <w:t>383.08</w:t>
      </w:r>
      <w:r>
        <w:rPr>
          <w:spacing w:val="-9"/>
          <w:sz w:val="32"/>
        </w:rPr>
        <w:t xml:space="preserve"> 万元，完成预算 </w:t>
      </w:r>
      <w:r>
        <w:rPr>
          <w:sz w:val="32"/>
        </w:rPr>
        <w:t>100%。</w:t>
      </w:r>
    </w:p>
    <w:p>
      <w:pPr>
        <w:pStyle w:val="4"/>
        <w:spacing w:before="186"/>
        <w:ind w:left="0"/>
      </w:pPr>
    </w:p>
    <w:p>
      <w:pPr>
        <w:pStyle w:val="4"/>
        <w:ind w:left="755"/>
        <w:rPr>
          <w:rFonts w:ascii="黑体" w:eastAsia="黑体"/>
        </w:rPr>
      </w:pPr>
      <w:bookmarkStart w:id="31" w:name="六、一般公共预算财政拨款基本支出决算情况说明"/>
      <w:bookmarkEnd w:id="31"/>
      <w:r>
        <w:rPr>
          <w:rFonts w:ascii="黑体" w:eastAsia="黑体"/>
          <w:spacing w:val="-4"/>
        </w:rPr>
        <w:t>六</w:t>
      </w:r>
      <w:r>
        <w:rPr>
          <w:rFonts w:ascii="黑体" w:eastAsia="黑体"/>
          <w:b/>
          <w:spacing w:val="-4"/>
        </w:rPr>
        <w:t>、一</w:t>
      </w:r>
      <w:r>
        <w:rPr>
          <w:rFonts w:ascii="黑体" w:eastAsia="黑体"/>
          <w:spacing w:val="-5"/>
        </w:rPr>
        <w:t>般公共预算财政拨款基本支出决算情况说明</w:t>
      </w:r>
    </w:p>
    <w:p>
      <w:pPr>
        <w:pStyle w:val="4"/>
        <w:spacing w:before="184" w:line="345" w:lineRule="auto"/>
        <w:ind w:right="213" w:firstLine="645"/>
        <w:jc w:val="both"/>
        <w:rPr>
          <w:rFonts w:ascii="仿宋" w:eastAsia="仿宋"/>
        </w:rPr>
      </w:pPr>
      <w:r>
        <w:rPr>
          <w:rFonts w:ascii="仿宋" w:eastAsia="仿宋"/>
          <w:spacing w:val="-6"/>
        </w:rPr>
        <w:t>2023</w:t>
      </w:r>
      <w:r>
        <w:rPr>
          <w:rFonts w:ascii="仿宋" w:eastAsia="仿宋"/>
          <w:spacing w:val="-12"/>
        </w:rPr>
        <w:t xml:space="preserve"> 年度一般公共预算财政拨款基本支出 </w:t>
      </w:r>
      <w:r>
        <w:rPr>
          <w:rFonts w:ascii="仿宋" w:eastAsia="仿宋"/>
          <w:spacing w:val="-6"/>
        </w:rPr>
        <w:t>24557.69</w:t>
      </w:r>
      <w:r>
        <w:rPr>
          <w:rFonts w:ascii="仿宋" w:eastAsia="仿宋"/>
          <w:spacing w:val="-12"/>
        </w:rPr>
        <w:t xml:space="preserve"> 万元，</w:t>
      </w:r>
      <w:r>
        <w:rPr>
          <w:rFonts w:ascii="仿宋" w:eastAsia="仿宋"/>
          <w:spacing w:val="-4"/>
        </w:rPr>
        <w:t>其中：</w:t>
      </w:r>
    </w:p>
    <w:p>
      <w:pPr>
        <w:pStyle w:val="4"/>
        <w:spacing w:before="2" w:line="345" w:lineRule="auto"/>
        <w:ind w:right="95" w:firstLine="645"/>
        <w:jc w:val="both"/>
        <w:rPr>
          <w:rFonts w:ascii="仿宋" w:eastAsia="仿宋"/>
        </w:rPr>
      </w:pPr>
      <w:r>
        <w:rPr>
          <w:rFonts w:ascii="仿宋" w:eastAsia="仿宋"/>
          <w:spacing w:val="-10"/>
        </w:rPr>
        <w:t xml:space="preserve">人员经费 </w:t>
      </w:r>
      <w:r>
        <w:rPr>
          <w:rFonts w:ascii="仿宋" w:eastAsia="仿宋"/>
          <w:spacing w:val="-2"/>
        </w:rPr>
        <w:t>7097.61</w:t>
      </w:r>
      <w:r>
        <w:rPr>
          <w:rFonts w:ascii="仿宋" w:eastAsia="仿宋"/>
          <w:spacing w:val="-8"/>
        </w:rPr>
        <w:t xml:space="preserve"> 万元，主要包括：基本工资、津贴补贴、</w:t>
      </w:r>
      <w:r>
        <w:rPr>
          <w:rFonts w:ascii="仿宋" w:eastAsia="仿宋"/>
          <w:spacing w:val="-20"/>
        </w:rPr>
        <w:t>奖金、伙食补助费、绩效工资、机关事业单位基本养老保险缴费、职业年金缴费、其他社会保障缴费、其他工资福利支出、离休费、</w:t>
      </w:r>
      <w:r>
        <w:rPr>
          <w:rFonts w:ascii="仿宋" w:eastAsia="仿宋"/>
          <w:spacing w:val="-21"/>
        </w:rPr>
        <w:t>退休费、抚恤金、生活补助、医疗费补助、奖励金、住房公积金、</w:t>
      </w:r>
      <w:r>
        <w:rPr>
          <w:rFonts w:ascii="仿宋" w:eastAsia="仿宋"/>
          <w:spacing w:val="-2"/>
        </w:rPr>
        <w:t>其他对个人和家庭的补助支出等。</w:t>
      </w:r>
    </w:p>
    <w:p>
      <w:pPr>
        <w:pStyle w:val="4"/>
        <w:spacing w:before="4" w:line="345" w:lineRule="auto"/>
        <w:ind w:right="95" w:firstLine="1284"/>
        <w:rPr>
          <w:rFonts w:ascii="仿宋" w:eastAsia="仿宋"/>
        </w:rPr>
      </w:pPr>
      <w:r>
        <w:rPr>
          <w:rFonts w:ascii="仿宋" w:eastAsia="仿宋"/>
          <w:spacing w:val="-20"/>
        </w:rPr>
        <w:t xml:space="preserve">公用经费 </w:t>
      </w:r>
      <w:r>
        <w:rPr>
          <w:rFonts w:ascii="仿宋" w:eastAsia="仿宋"/>
          <w:spacing w:val="-6"/>
        </w:rPr>
        <w:t>17460.08</w:t>
      </w:r>
      <w:r>
        <w:rPr>
          <w:rFonts w:ascii="仿宋" w:eastAsia="仿宋"/>
          <w:spacing w:val="-15"/>
        </w:rPr>
        <w:t xml:space="preserve"> 万元，主要包括：办公费、印刷费、</w:t>
      </w:r>
      <w:r>
        <w:rPr>
          <w:rFonts w:ascii="仿宋" w:eastAsia="仿宋"/>
          <w:spacing w:val="-2"/>
        </w:rPr>
        <w:t>咨询费、手续费、水费、电费、邮电费、取暖费、物业管理费、</w:t>
      </w:r>
      <w:r>
        <w:rPr>
          <w:rFonts w:ascii="仿宋" w:eastAsia="仿宋"/>
          <w:spacing w:val="-10"/>
        </w:rPr>
        <w:t>差旅费、因公出国（境）费用、维修（护）费、租赁费、会议费、</w:t>
      </w:r>
      <w:r>
        <w:rPr>
          <w:rFonts w:ascii="仿宋" w:eastAsia="仿宋"/>
          <w:spacing w:val="-20"/>
        </w:rPr>
        <w:t>培训费、公务接待费、劳务费、委托业务费、工会经费、福利费、</w:t>
      </w:r>
      <w:r>
        <w:rPr>
          <w:rFonts w:ascii="仿宋" w:eastAsia="仿宋"/>
          <w:spacing w:val="-2"/>
        </w:rPr>
        <w:t>公务用车运行维护费、其他交通费、税金及附加费用、其他商品和服务支出、办公设备购置、专用设备购置、信息网络及软件购置更新、其他资本性支出等。</w:t>
      </w:r>
    </w:p>
    <w:p>
      <w:pPr>
        <w:pStyle w:val="4"/>
        <w:spacing w:after="0" w:line="345" w:lineRule="auto"/>
        <w:rPr>
          <w:rFonts w:ascii="仿宋" w:eastAsia="仿宋"/>
        </w:rPr>
        <w:sectPr>
          <w:pgSz w:w="11910" w:h="16840"/>
          <w:pgMar w:top="1640" w:right="1275" w:bottom="900" w:left="1417" w:header="0" w:footer="700" w:gutter="0"/>
          <w:cols w:space="720" w:num="1"/>
        </w:sectPr>
      </w:pPr>
    </w:p>
    <w:p>
      <w:pPr>
        <w:pStyle w:val="4"/>
        <w:spacing w:before="28"/>
        <w:ind w:left="755"/>
        <w:rPr>
          <w:rFonts w:ascii="黑体" w:hAnsi="黑体" w:eastAsia="黑体"/>
        </w:rPr>
      </w:pPr>
      <w:bookmarkStart w:id="32" w:name="七、财政拨款“三公”经费支出决算情况说明"/>
      <w:bookmarkEnd w:id="32"/>
      <w:r>
        <w:rPr>
          <w:rFonts w:ascii="黑体" w:hAnsi="黑体" w:eastAsia="黑体"/>
          <w:spacing w:val="-4"/>
        </w:rPr>
        <w:t>七、财政拨款</w:t>
      </w:r>
      <w:r>
        <w:rPr>
          <w:rFonts w:ascii="黑体" w:hAnsi="黑体" w:eastAsia="黑体"/>
          <w:b/>
          <w:spacing w:val="-4"/>
        </w:rPr>
        <w:t>“</w:t>
      </w:r>
      <w:r>
        <w:rPr>
          <w:rFonts w:ascii="黑体" w:hAnsi="黑体" w:eastAsia="黑体"/>
          <w:spacing w:val="-5"/>
        </w:rPr>
        <w:t>三公”经费支出决算情况说明</w:t>
      </w:r>
    </w:p>
    <w:p>
      <w:pPr>
        <w:pStyle w:val="3"/>
        <w:spacing w:before="184"/>
        <w:rPr>
          <w:rFonts w:ascii="仿宋" w:hAnsi="仿宋" w:eastAsia="仿宋"/>
        </w:rPr>
      </w:pPr>
      <w:bookmarkStart w:id="33" w:name="（一）“三公”经费财政拨款支出决算总体情况说明"/>
      <w:bookmarkEnd w:id="33"/>
      <w:r>
        <w:rPr>
          <w:rFonts w:ascii="仿宋" w:hAnsi="仿宋" w:eastAsia="仿宋"/>
          <w:spacing w:val="-2"/>
        </w:rPr>
        <w:t>（一</w:t>
      </w:r>
      <w:r>
        <w:rPr>
          <w:rFonts w:ascii="仿宋" w:hAnsi="仿宋" w:eastAsia="仿宋"/>
          <w:spacing w:val="-159"/>
        </w:rPr>
        <w:t>）</w:t>
      </w:r>
      <w:r>
        <w:rPr>
          <w:rFonts w:ascii="仿宋" w:hAnsi="仿宋" w:eastAsia="仿宋"/>
          <w:spacing w:val="-3"/>
        </w:rPr>
        <w:t>“三公”经费财政拨款支出决算总体情况说明</w:t>
      </w:r>
    </w:p>
    <w:p>
      <w:pPr>
        <w:pStyle w:val="4"/>
        <w:spacing w:before="184" w:line="345" w:lineRule="auto"/>
        <w:ind w:right="255" w:firstLine="640"/>
        <w:jc w:val="both"/>
      </w:pPr>
      <w:r>
        <w:rPr>
          <w:rFonts w:ascii="仿宋" w:hAnsi="仿宋" w:eastAsia="仿宋"/>
          <w:spacing w:val="-8"/>
        </w:rPr>
        <w:t>2023</w:t>
      </w:r>
      <w:r>
        <w:rPr>
          <w:rFonts w:ascii="仿宋" w:hAnsi="仿宋" w:eastAsia="仿宋"/>
          <w:spacing w:val="-14"/>
        </w:rPr>
        <w:t xml:space="preserve"> 年度“三公”经费财政拨款支出决算为 </w:t>
      </w:r>
      <w:r>
        <w:rPr>
          <w:rFonts w:ascii="仿宋" w:hAnsi="仿宋" w:eastAsia="仿宋"/>
          <w:spacing w:val="-8"/>
        </w:rPr>
        <w:t>62.5</w:t>
      </w:r>
      <w:r>
        <w:rPr>
          <w:rFonts w:ascii="仿宋" w:hAnsi="仿宋" w:eastAsia="仿宋"/>
          <w:spacing w:val="-13"/>
        </w:rPr>
        <w:t xml:space="preserve"> 万元，完</w:t>
      </w:r>
      <w:r>
        <w:rPr>
          <w:rFonts w:ascii="仿宋" w:hAnsi="仿宋" w:eastAsia="仿宋"/>
          <w:spacing w:val="-15"/>
        </w:rPr>
        <w:t xml:space="preserve">成预算 </w:t>
      </w:r>
      <w:r>
        <w:rPr>
          <w:rFonts w:ascii="仿宋" w:hAnsi="仿宋" w:eastAsia="仿宋"/>
          <w:spacing w:val="-10"/>
        </w:rPr>
        <w:t>85.65</w:t>
      </w:r>
      <w:r>
        <w:rPr>
          <w:rFonts w:ascii="仿宋" w:hAnsi="仿宋" w:eastAsia="仿宋"/>
          <w:spacing w:val="-13"/>
        </w:rPr>
        <w:t xml:space="preserve">%，较上年度增加 </w:t>
      </w:r>
      <w:r>
        <w:rPr>
          <w:rFonts w:ascii="仿宋" w:hAnsi="仿宋" w:eastAsia="仿宋"/>
          <w:spacing w:val="-10"/>
        </w:rPr>
        <w:t>0.06</w:t>
      </w:r>
      <w:r>
        <w:rPr>
          <w:rFonts w:ascii="仿宋" w:hAnsi="仿宋" w:eastAsia="仿宋"/>
          <w:spacing w:val="-18"/>
        </w:rPr>
        <w:t xml:space="preserve"> 万元，增长 </w:t>
      </w:r>
      <w:r>
        <w:rPr>
          <w:rFonts w:ascii="仿宋" w:hAnsi="仿宋" w:eastAsia="仿宋"/>
          <w:spacing w:val="-10"/>
        </w:rPr>
        <w:t>0.097%。决算数</w:t>
      </w:r>
      <w:r>
        <w:rPr>
          <w:rFonts w:ascii="仿宋" w:hAnsi="仿宋" w:eastAsia="仿宋"/>
          <w:spacing w:val="-2"/>
        </w:rPr>
        <w:t>小于预算数的主要原因是</w:t>
      </w:r>
      <w:r>
        <w:rPr>
          <w:spacing w:val="-2"/>
        </w:rPr>
        <w:t>遂宁市中心医院培训费增加。</w:t>
      </w:r>
    </w:p>
    <w:p>
      <w:pPr>
        <w:pStyle w:val="3"/>
        <w:spacing w:before="3"/>
        <w:rPr>
          <w:rFonts w:ascii="仿宋" w:hAnsi="仿宋" w:eastAsia="仿宋"/>
        </w:rPr>
      </w:pPr>
      <w:bookmarkStart w:id="34" w:name="（二）“三公”经费财政拨款支出决算具体情况说明"/>
      <w:bookmarkEnd w:id="34"/>
      <w:r>
        <w:rPr>
          <w:rFonts w:ascii="仿宋" w:hAnsi="仿宋" w:eastAsia="仿宋"/>
          <w:spacing w:val="-2"/>
        </w:rPr>
        <w:t>（二</w:t>
      </w:r>
      <w:r>
        <w:rPr>
          <w:rFonts w:ascii="仿宋" w:hAnsi="仿宋" w:eastAsia="仿宋"/>
          <w:spacing w:val="-159"/>
        </w:rPr>
        <w:t>）</w:t>
      </w:r>
      <w:r>
        <w:rPr>
          <w:rFonts w:ascii="仿宋" w:hAnsi="仿宋" w:eastAsia="仿宋"/>
          <w:spacing w:val="-3"/>
        </w:rPr>
        <w:t>“三公”经费财政拨款支出决算具体情况说明</w:t>
      </w:r>
    </w:p>
    <w:p>
      <w:pPr>
        <w:pStyle w:val="4"/>
        <w:spacing w:before="184" w:line="345" w:lineRule="auto"/>
        <w:ind w:right="95" w:firstLine="640"/>
        <w:rPr>
          <w:rFonts w:ascii="仿宋" w:hAnsi="仿宋" w:eastAsia="仿宋"/>
        </w:rPr>
      </w:pPr>
      <w:r>
        <w:rPr>
          <w:rFonts w:ascii="仿宋" w:hAnsi="仿宋" w:eastAsia="仿宋"/>
          <w:spacing w:val="-2"/>
        </w:rPr>
        <w:t>2023</w:t>
      </w:r>
      <w:r>
        <w:rPr>
          <w:rFonts w:ascii="仿宋" w:hAnsi="仿宋" w:eastAsia="仿宋"/>
          <w:spacing w:val="-25"/>
        </w:rPr>
        <w:t xml:space="preserve"> 年度“三公”经费财政拨款支出决算中，因公出国</w:t>
      </w:r>
      <w:r>
        <w:rPr>
          <w:rFonts w:ascii="仿宋" w:hAnsi="仿宋" w:eastAsia="仿宋"/>
          <w:spacing w:val="-2"/>
        </w:rPr>
        <w:t>（境）</w:t>
      </w:r>
      <w:r>
        <w:rPr>
          <w:rFonts w:ascii="仿宋" w:hAnsi="仿宋" w:eastAsia="仿宋"/>
          <w:spacing w:val="-1"/>
        </w:rPr>
        <w:t xml:space="preserve">费支出决算 </w:t>
      </w:r>
      <w:r>
        <w:rPr>
          <w:rFonts w:ascii="仿宋" w:hAnsi="仿宋" w:eastAsia="仿宋"/>
        </w:rPr>
        <w:t>0</w:t>
      </w:r>
      <w:r>
        <w:rPr>
          <w:rFonts w:ascii="仿宋" w:hAnsi="仿宋" w:eastAsia="仿宋"/>
          <w:spacing w:val="-1"/>
        </w:rPr>
        <w:t xml:space="preserve"> 万元，占 </w:t>
      </w:r>
      <w:r>
        <w:rPr>
          <w:rFonts w:ascii="仿宋" w:hAnsi="仿宋" w:eastAsia="仿宋"/>
        </w:rPr>
        <w:t>0%；公务用车购置及运行维护费支出决</w:t>
      </w:r>
      <w:r>
        <w:rPr>
          <w:rFonts w:ascii="仿宋" w:hAnsi="仿宋" w:eastAsia="仿宋"/>
          <w:spacing w:val="-16"/>
        </w:rPr>
        <w:t xml:space="preserve">算 </w:t>
      </w:r>
      <w:r>
        <w:rPr>
          <w:rFonts w:ascii="仿宋" w:hAnsi="仿宋" w:eastAsia="仿宋"/>
        </w:rPr>
        <w:t>57.29</w:t>
      </w:r>
      <w:r>
        <w:rPr>
          <w:rFonts w:ascii="仿宋" w:hAnsi="仿宋" w:eastAsia="仿宋"/>
          <w:spacing w:val="-12"/>
        </w:rPr>
        <w:t xml:space="preserve"> 万元，占 </w:t>
      </w:r>
      <w:r>
        <w:rPr>
          <w:rFonts w:ascii="仿宋" w:hAnsi="仿宋" w:eastAsia="仿宋"/>
        </w:rPr>
        <w:t>91.7</w:t>
      </w:r>
      <w:r>
        <w:rPr>
          <w:rFonts w:ascii="仿宋" w:hAnsi="仿宋" w:eastAsia="仿宋"/>
          <w:spacing w:val="-3"/>
        </w:rPr>
        <w:t xml:space="preserve">%；公务接待费支出决算 </w:t>
      </w:r>
      <w:r>
        <w:rPr>
          <w:rFonts w:ascii="仿宋" w:hAnsi="仿宋" w:eastAsia="仿宋"/>
        </w:rPr>
        <w:t>5.21</w:t>
      </w:r>
      <w:r>
        <w:rPr>
          <w:rFonts w:ascii="仿宋" w:hAnsi="仿宋" w:eastAsia="仿宋"/>
          <w:spacing w:val="-8"/>
        </w:rPr>
        <w:t xml:space="preserve"> 万元，占</w:t>
      </w:r>
      <w:r>
        <w:rPr>
          <w:rFonts w:ascii="仿宋" w:hAnsi="仿宋" w:eastAsia="仿宋"/>
        </w:rPr>
        <w:t xml:space="preserve"> </w:t>
      </w:r>
      <w:r>
        <w:rPr>
          <w:rFonts w:ascii="仿宋" w:hAnsi="仿宋" w:eastAsia="仿宋"/>
          <w:spacing w:val="-2"/>
        </w:rPr>
        <w:t>8.3%。具体情况如下：</w:t>
      </w:r>
    </w:p>
    <w:p>
      <w:pPr>
        <w:pStyle w:val="4"/>
        <w:spacing w:before="4"/>
        <w:ind w:left="755"/>
        <w:rPr>
          <w:rFonts w:ascii="仿宋" w:hAnsi="仿宋" w:eastAsia="仿宋"/>
        </w:rPr>
      </w:pPr>
      <w:r>
        <w:rPr>
          <w:rFonts w:ascii="仿宋" w:hAnsi="仿宋" w:eastAsia="仿宋"/>
          <w:spacing w:val="-4"/>
        </w:rPr>
        <w:t>（</w:t>
      </w:r>
      <w:r>
        <w:rPr>
          <w:rFonts w:ascii="仿宋" w:hAnsi="仿宋" w:eastAsia="仿宋"/>
          <w:spacing w:val="-37"/>
        </w:rPr>
        <w:t xml:space="preserve">图 </w:t>
      </w:r>
      <w:r>
        <w:rPr>
          <w:rFonts w:ascii="仿宋" w:hAnsi="仿宋" w:eastAsia="仿宋"/>
          <w:spacing w:val="-2"/>
        </w:rPr>
        <w:t>7</w:t>
      </w:r>
      <w:r>
        <w:rPr>
          <w:rFonts w:ascii="仿宋" w:hAnsi="仿宋" w:eastAsia="仿宋"/>
          <w:spacing w:val="-18"/>
        </w:rPr>
        <w:t>：“三公”经费财政拨款支出结构</w:t>
      </w:r>
      <w:r>
        <w:rPr>
          <w:rFonts w:ascii="仿宋" w:hAnsi="仿宋" w:eastAsia="仿宋"/>
          <w:spacing w:val="-161"/>
        </w:rPr>
        <w:t>）</w:t>
      </w:r>
      <w:r>
        <w:rPr>
          <w:rFonts w:ascii="仿宋" w:hAnsi="仿宋" w:eastAsia="仿宋"/>
        </w:rPr>
        <w:t>（</w:t>
      </w:r>
      <w:r>
        <w:rPr>
          <w:rFonts w:ascii="仿宋" w:hAnsi="仿宋" w:eastAsia="仿宋"/>
          <w:spacing w:val="-4"/>
        </w:rPr>
        <w:t>饼状图</w:t>
      </w:r>
      <w:r>
        <w:rPr>
          <w:rFonts w:ascii="仿宋" w:hAnsi="仿宋" w:eastAsia="仿宋"/>
          <w:spacing w:val="-10"/>
        </w:rPr>
        <w:t>）</w:t>
      </w:r>
    </w:p>
    <w:p>
      <w:pPr>
        <w:pStyle w:val="4"/>
        <w:ind w:left="0"/>
        <w:rPr>
          <w:rFonts w:ascii="仿宋"/>
          <w:sz w:val="20"/>
        </w:rPr>
      </w:pPr>
    </w:p>
    <w:p>
      <w:pPr>
        <w:pStyle w:val="4"/>
        <w:ind w:left="0"/>
        <w:rPr>
          <w:rFonts w:ascii="仿宋"/>
          <w:sz w:val="20"/>
        </w:rPr>
      </w:pPr>
    </w:p>
    <w:p>
      <w:pPr>
        <w:pStyle w:val="4"/>
        <w:ind w:left="0"/>
        <w:rPr>
          <w:rFonts w:ascii="仿宋"/>
          <w:sz w:val="20"/>
        </w:rPr>
      </w:pPr>
    </w:p>
    <w:p>
      <w:pPr>
        <w:pStyle w:val="4"/>
        <w:ind w:left="0"/>
        <w:rPr>
          <w:rFonts w:ascii="仿宋"/>
          <w:sz w:val="20"/>
        </w:rPr>
      </w:pPr>
    </w:p>
    <w:p>
      <w:pPr>
        <w:pStyle w:val="4"/>
        <w:ind w:left="0"/>
        <w:rPr>
          <w:rFonts w:ascii="仿宋"/>
          <w:sz w:val="20"/>
        </w:rPr>
      </w:pPr>
    </w:p>
    <w:p>
      <w:pPr>
        <w:pStyle w:val="4"/>
        <w:spacing w:before="60"/>
        <w:ind w:left="0"/>
        <w:rPr>
          <w:rFonts w:ascii="仿宋"/>
          <w:sz w:val="20"/>
        </w:rPr>
      </w:pPr>
      <w:r>
        <w:rPr>
          <w:rFonts w:ascii="仿宋"/>
          <w:sz w:val="20"/>
        </w:rPr>
        <w:drawing>
          <wp:anchor distT="0" distB="0" distL="0" distR="0" simplePos="0" relativeHeight="251665408" behindDoc="1" locked="0" layoutInCell="1" allowOverlap="1">
            <wp:simplePos x="0" y="0"/>
            <wp:positionH relativeFrom="page">
              <wp:posOffset>2214245</wp:posOffset>
            </wp:positionH>
            <wp:positionV relativeFrom="paragraph">
              <wp:posOffset>218440</wp:posOffset>
            </wp:positionV>
            <wp:extent cx="2178050" cy="1870075"/>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3" cstate="print"/>
                    <a:stretch>
                      <a:fillRect/>
                    </a:stretch>
                  </pic:blipFill>
                  <pic:spPr>
                    <a:xfrm>
                      <a:off x="0" y="0"/>
                      <a:ext cx="2177795" cy="1869948"/>
                    </a:xfrm>
                    <a:prstGeom prst="rect">
                      <a:avLst/>
                    </a:prstGeom>
                  </pic:spPr>
                </pic:pic>
              </a:graphicData>
            </a:graphic>
          </wp:anchor>
        </w:drawing>
      </w:r>
    </w:p>
    <w:p>
      <w:pPr>
        <w:pStyle w:val="3"/>
        <w:numPr>
          <w:ilvl w:val="0"/>
          <w:numId w:val="5"/>
        </w:numPr>
        <w:tabs>
          <w:tab w:val="left" w:pos="1073"/>
        </w:tabs>
        <w:spacing w:before="383" w:after="0" w:line="240" w:lineRule="auto"/>
        <w:ind w:left="1073" w:right="0" w:hanging="318"/>
        <w:jc w:val="left"/>
      </w:pPr>
      <w:r>
        <w:rPr>
          <w:spacing w:val="-2"/>
        </w:rPr>
        <w:t>因公出国（境）</w:t>
      </w:r>
      <w:r>
        <w:rPr>
          <w:spacing w:val="-3"/>
        </w:rPr>
        <w:t>经费支出：本年无此支出。</w:t>
      </w:r>
    </w:p>
    <w:p>
      <w:pPr>
        <w:pStyle w:val="9"/>
        <w:numPr>
          <w:ilvl w:val="0"/>
          <w:numId w:val="5"/>
        </w:numPr>
        <w:tabs>
          <w:tab w:val="left" w:pos="1087"/>
        </w:tabs>
        <w:spacing w:before="184" w:after="0" w:line="240" w:lineRule="auto"/>
        <w:ind w:left="1087" w:right="0" w:hanging="332"/>
        <w:jc w:val="left"/>
        <w:rPr>
          <w:rFonts w:ascii="仿宋" w:eastAsia="仿宋"/>
          <w:sz w:val="32"/>
        </w:rPr>
      </w:pPr>
      <w:r>
        <w:rPr>
          <w:b/>
          <w:spacing w:val="7"/>
          <w:sz w:val="32"/>
        </w:rPr>
        <w:t xml:space="preserve">公务用车购置及运行维护费支出 </w:t>
      </w:r>
      <w:r>
        <w:rPr>
          <w:sz w:val="32"/>
        </w:rPr>
        <w:t>57.29</w:t>
      </w:r>
      <w:r>
        <w:rPr>
          <w:spacing w:val="-5"/>
          <w:sz w:val="32"/>
        </w:rPr>
        <w:t xml:space="preserve"> 万元,</w:t>
      </w:r>
      <w:r>
        <w:rPr>
          <w:rFonts w:ascii="仿宋" w:eastAsia="仿宋"/>
          <w:spacing w:val="7"/>
          <w:sz w:val="32"/>
        </w:rPr>
        <w:t>完成预算</w:t>
      </w:r>
    </w:p>
    <w:p>
      <w:pPr>
        <w:pStyle w:val="4"/>
        <w:spacing w:before="184"/>
      </w:pPr>
      <w:r>
        <w:rPr>
          <w:rFonts w:ascii="仿宋" w:eastAsia="仿宋"/>
          <w:spacing w:val="-4"/>
        </w:rPr>
        <w:t>92.15%。</w:t>
      </w:r>
      <w:r>
        <w:rPr>
          <w:spacing w:val="-7"/>
        </w:rPr>
        <w:t xml:space="preserve">公务用车购置及运行维护费支出决算比 </w:t>
      </w:r>
      <w:r>
        <w:rPr>
          <w:spacing w:val="-4"/>
        </w:rPr>
        <w:t>2022</w:t>
      </w:r>
      <w:r>
        <w:rPr>
          <w:spacing w:val="-16"/>
        </w:rPr>
        <w:t xml:space="preserve"> 年度减少</w:t>
      </w:r>
    </w:p>
    <w:p>
      <w:pPr>
        <w:pStyle w:val="4"/>
        <w:spacing w:after="0"/>
        <w:sectPr>
          <w:pgSz w:w="11910" w:h="16840"/>
          <w:pgMar w:top="1640" w:right="1275" w:bottom="900" w:left="1417" w:header="0" w:footer="700" w:gutter="0"/>
          <w:cols w:space="720" w:num="1"/>
        </w:sectPr>
      </w:pPr>
    </w:p>
    <w:p>
      <w:pPr>
        <w:pStyle w:val="4"/>
        <w:spacing w:before="28" w:line="345" w:lineRule="auto"/>
        <w:ind w:right="256"/>
      </w:pPr>
      <w:r>
        <w:t>0.01</w:t>
      </w:r>
      <w:r>
        <w:rPr>
          <w:spacing w:val="-23"/>
        </w:rPr>
        <w:t xml:space="preserve"> 万元，下降 </w:t>
      </w:r>
      <w:r>
        <w:t>0.017%。主要原因是公车维修费用、加油费减</w:t>
      </w:r>
      <w:r>
        <w:rPr>
          <w:spacing w:val="-6"/>
        </w:rPr>
        <w:t>少。</w:t>
      </w:r>
    </w:p>
    <w:p>
      <w:pPr>
        <w:spacing w:before="2"/>
        <w:ind w:left="0" w:right="256" w:firstLine="0"/>
        <w:jc w:val="right"/>
        <w:rPr>
          <w:sz w:val="32"/>
        </w:rPr>
      </w:pPr>
      <w:r>
        <w:rPr>
          <w:spacing w:val="-24"/>
          <w:sz w:val="32"/>
        </w:rPr>
        <w:t>其中：</w:t>
      </w:r>
      <w:r>
        <w:rPr>
          <w:b/>
          <w:spacing w:val="-11"/>
          <w:sz w:val="32"/>
        </w:rPr>
        <w:t xml:space="preserve">公务用车购置支出 </w:t>
      </w:r>
      <w:r>
        <w:rPr>
          <w:b/>
          <w:spacing w:val="-4"/>
          <w:sz w:val="32"/>
        </w:rPr>
        <w:t>0</w:t>
      </w:r>
      <w:r>
        <w:rPr>
          <w:b/>
          <w:spacing w:val="-65"/>
          <w:sz w:val="32"/>
        </w:rPr>
        <w:t xml:space="preserve"> </w:t>
      </w:r>
      <w:r>
        <w:rPr>
          <w:spacing w:val="-12"/>
          <w:sz w:val="32"/>
        </w:rPr>
        <w:t>万元。全年按规定更新购置公务</w:t>
      </w:r>
    </w:p>
    <w:p>
      <w:pPr>
        <w:pStyle w:val="4"/>
        <w:spacing w:before="184"/>
        <w:ind w:left="0" w:right="255"/>
        <w:jc w:val="right"/>
      </w:pPr>
      <w:r>
        <w:rPr>
          <w:spacing w:val="-30"/>
        </w:rPr>
        <w:t xml:space="preserve">用车 </w:t>
      </w:r>
      <w:r>
        <w:rPr>
          <w:spacing w:val="-4"/>
        </w:rPr>
        <w:t>0</w:t>
      </w:r>
      <w:r>
        <w:rPr>
          <w:spacing w:val="-22"/>
        </w:rPr>
        <w:t xml:space="preserve"> 辆，其中：轿车 </w:t>
      </w:r>
      <w:r>
        <w:rPr>
          <w:spacing w:val="-4"/>
        </w:rPr>
        <w:t>0</w:t>
      </w:r>
      <w:r>
        <w:rPr>
          <w:spacing w:val="-30"/>
        </w:rPr>
        <w:t xml:space="preserve"> 辆、金额 </w:t>
      </w:r>
      <w:r>
        <w:rPr>
          <w:spacing w:val="-4"/>
        </w:rPr>
        <w:t>0</w:t>
      </w:r>
      <w:r>
        <w:rPr>
          <w:spacing w:val="-25"/>
        </w:rPr>
        <w:t xml:space="preserve"> 万元，越野车 </w:t>
      </w:r>
      <w:r>
        <w:rPr>
          <w:spacing w:val="-4"/>
        </w:rPr>
        <w:t>0</w:t>
      </w:r>
      <w:r>
        <w:rPr>
          <w:spacing w:val="-30"/>
        </w:rPr>
        <w:t xml:space="preserve"> 辆、金额 </w:t>
      </w:r>
      <w:r>
        <w:rPr>
          <w:spacing w:val="-10"/>
        </w:rPr>
        <w:t>0</w:t>
      </w:r>
    </w:p>
    <w:p>
      <w:pPr>
        <w:pStyle w:val="4"/>
        <w:spacing w:before="184"/>
        <w:ind w:left="0" w:right="255"/>
        <w:jc w:val="right"/>
      </w:pPr>
      <w:r>
        <w:rPr>
          <w:spacing w:val="-12"/>
        </w:rPr>
        <w:t xml:space="preserve">万元，载客汽车 </w:t>
      </w:r>
      <w:r>
        <w:rPr>
          <w:spacing w:val="-2"/>
        </w:rPr>
        <w:t>0</w:t>
      </w:r>
      <w:r>
        <w:rPr>
          <w:spacing w:val="-28"/>
        </w:rPr>
        <w:t xml:space="preserve"> 辆、金额 </w:t>
      </w:r>
      <w:r>
        <w:rPr>
          <w:spacing w:val="-2"/>
        </w:rPr>
        <w:t>0</w:t>
      </w:r>
      <w:r>
        <w:rPr>
          <w:spacing w:val="-25"/>
        </w:rPr>
        <w:t xml:space="preserve"> 万元。截至 </w:t>
      </w:r>
      <w:r>
        <w:rPr>
          <w:spacing w:val="-2"/>
        </w:rPr>
        <w:t>2023</w:t>
      </w:r>
      <w:r>
        <w:rPr>
          <w:spacing w:val="-52"/>
        </w:rPr>
        <w:t xml:space="preserve"> 年 </w:t>
      </w:r>
      <w:r>
        <w:rPr>
          <w:spacing w:val="-2"/>
        </w:rPr>
        <w:t>12</w:t>
      </w:r>
      <w:r>
        <w:rPr>
          <w:spacing w:val="-52"/>
        </w:rPr>
        <w:t xml:space="preserve"> 月 </w:t>
      </w:r>
      <w:r>
        <w:rPr>
          <w:spacing w:val="-2"/>
        </w:rPr>
        <w:t>31</w:t>
      </w:r>
      <w:r>
        <w:rPr>
          <w:spacing w:val="-30"/>
        </w:rPr>
        <w:t xml:space="preserve"> 日，</w:t>
      </w:r>
    </w:p>
    <w:p>
      <w:pPr>
        <w:pStyle w:val="4"/>
        <w:spacing w:before="184"/>
        <w:ind w:left="0" w:right="254"/>
        <w:jc w:val="right"/>
      </w:pPr>
      <w:r>
        <w:rPr>
          <w:spacing w:val="-15"/>
        </w:rPr>
        <w:t xml:space="preserve">单位共有公务用车 </w:t>
      </w:r>
      <w:r>
        <w:rPr>
          <w:spacing w:val="-8"/>
        </w:rPr>
        <w:t>64</w:t>
      </w:r>
      <w:r>
        <w:rPr>
          <w:spacing w:val="-21"/>
        </w:rPr>
        <w:t xml:space="preserve"> 辆，其中：应急保障用车 </w:t>
      </w:r>
      <w:r>
        <w:rPr>
          <w:spacing w:val="-8"/>
        </w:rPr>
        <w:t>22</w:t>
      </w:r>
      <w:r>
        <w:rPr>
          <w:spacing w:val="-18"/>
        </w:rPr>
        <w:t xml:space="preserve"> 辆、特种专业</w:t>
      </w:r>
    </w:p>
    <w:p>
      <w:pPr>
        <w:pStyle w:val="4"/>
        <w:spacing w:before="184"/>
      </w:pPr>
      <w:r>
        <w:rPr>
          <w:spacing w:val="-19"/>
        </w:rPr>
        <w:t xml:space="preserve">技术用车 </w:t>
      </w:r>
      <w:r>
        <w:rPr>
          <w:spacing w:val="-4"/>
        </w:rPr>
        <w:t>34</w:t>
      </w:r>
      <w:r>
        <w:rPr>
          <w:spacing w:val="-24"/>
        </w:rPr>
        <w:t xml:space="preserve"> 辆、其他用车 </w:t>
      </w:r>
      <w:r>
        <w:rPr>
          <w:spacing w:val="-4"/>
        </w:rPr>
        <w:t>8</w:t>
      </w:r>
      <w:r>
        <w:rPr>
          <w:spacing w:val="-30"/>
        </w:rPr>
        <w:t xml:space="preserve"> 辆。</w:t>
      </w:r>
    </w:p>
    <w:p>
      <w:pPr>
        <w:spacing w:before="184" w:line="345" w:lineRule="auto"/>
        <w:ind w:left="114" w:right="254" w:firstLine="640"/>
        <w:jc w:val="left"/>
        <w:rPr>
          <w:sz w:val="32"/>
        </w:rPr>
      </w:pPr>
      <w:r>
        <w:rPr>
          <w:b/>
          <w:spacing w:val="-7"/>
          <w:sz w:val="32"/>
        </w:rPr>
        <w:t xml:space="preserve">公务用车运行维护费支出 </w:t>
      </w:r>
      <w:r>
        <w:rPr>
          <w:sz w:val="32"/>
        </w:rPr>
        <w:t>57.29</w:t>
      </w:r>
      <w:r>
        <w:rPr>
          <w:spacing w:val="-18"/>
          <w:sz w:val="32"/>
        </w:rPr>
        <w:t xml:space="preserve"> 万元。主要用于公务用车燃</w:t>
      </w:r>
      <w:r>
        <w:rPr>
          <w:spacing w:val="-2"/>
          <w:sz w:val="32"/>
        </w:rPr>
        <w:t>料费、维修费、过路过桥费、保险费等支出。</w:t>
      </w:r>
    </w:p>
    <w:p>
      <w:pPr>
        <w:pStyle w:val="9"/>
        <w:numPr>
          <w:ilvl w:val="0"/>
          <w:numId w:val="5"/>
        </w:numPr>
        <w:tabs>
          <w:tab w:val="left" w:pos="1072"/>
        </w:tabs>
        <w:spacing w:before="2" w:after="0" w:line="345" w:lineRule="auto"/>
        <w:ind w:left="114" w:right="254" w:firstLine="640"/>
        <w:jc w:val="left"/>
        <w:rPr>
          <w:sz w:val="32"/>
        </w:rPr>
      </w:pPr>
      <w:r>
        <w:rPr>
          <w:b/>
          <w:spacing w:val="-12"/>
          <w:sz w:val="32"/>
        </w:rPr>
        <w:t xml:space="preserve">公务接待费支出 </w:t>
      </w:r>
      <w:r>
        <w:rPr>
          <w:b/>
          <w:spacing w:val="-2"/>
          <w:sz w:val="32"/>
        </w:rPr>
        <w:t>5.21</w:t>
      </w:r>
      <w:r>
        <w:rPr>
          <w:b/>
          <w:spacing w:val="-81"/>
          <w:sz w:val="32"/>
        </w:rPr>
        <w:t xml:space="preserve"> </w:t>
      </w:r>
      <w:r>
        <w:rPr>
          <w:spacing w:val="-2"/>
          <w:sz w:val="32"/>
        </w:rPr>
        <w:t>万元，</w:t>
      </w:r>
      <w:r>
        <w:rPr>
          <w:rFonts w:ascii="仿宋" w:eastAsia="仿宋"/>
          <w:spacing w:val="-18"/>
          <w:sz w:val="32"/>
        </w:rPr>
        <w:t xml:space="preserve">完成预算 </w:t>
      </w:r>
      <w:r>
        <w:rPr>
          <w:rFonts w:ascii="仿宋" w:eastAsia="仿宋"/>
          <w:spacing w:val="-2"/>
          <w:sz w:val="32"/>
        </w:rPr>
        <w:t>48.24%。</w:t>
      </w:r>
      <w:r>
        <w:rPr>
          <w:spacing w:val="-2"/>
          <w:sz w:val="32"/>
        </w:rPr>
        <w:t>公务接待</w:t>
      </w:r>
      <w:r>
        <w:rPr>
          <w:spacing w:val="-14"/>
          <w:sz w:val="32"/>
        </w:rPr>
        <w:t xml:space="preserve">费支出决算比 </w:t>
      </w:r>
      <w:r>
        <w:rPr>
          <w:spacing w:val="-2"/>
          <w:sz w:val="32"/>
        </w:rPr>
        <w:t>2022</w:t>
      </w:r>
      <w:r>
        <w:rPr>
          <w:spacing w:val="-29"/>
          <w:sz w:val="32"/>
        </w:rPr>
        <w:t xml:space="preserve"> 年度增加 </w:t>
      </w:r>
      <w:r>
        <w:rPr>
          <w:spacing w:val="-2"/>
          <w:sz w:val="32"/>
        </w:rPr>
        <w:t>0.07</w:t>
      </w:r>
      <w:r>
        <w:rPr>
          <w:spacing w:val="-25"/>
          <w:sz w:val="32"/>
        </w:rPr>
        <w:t xml:space="preserve"> 万元，增长 </w:t>
      </w:r>
      <w:r>
        <w:rPr>
          <w:spacing w:val="-2"/>
          <w:sz w:val="32"/>
        </w:rPr>
        <w:t>1.36%。主要原因</w:t>
      </w:r>
    </w:p>
    <w:p>
      <w:pPr>
        <w:pStyle w:val="4"/>
        <w:spacing w:before="2"/>
      </w:pPr>
      <w:r>
        <w:rPr>
          <w:spacing w:val="-32"/>
        </w:rPr>
        <w:t xml:space="preserve">是 </w:t>
      </w:r>
      <w:r>
        <w:rPr>
          <w:spacing w:val="-4"/>
        </w:rPr>
        <w:t>2023</w:t>
      </w:r>
      <w:r>
        <w:rPr>
          <w:spacing w:val="-12"/>
        </w:rPr>
        <w:t xml:space="preserve"> 年省上检查较多，故公务接待费支出增加。其中：</w:t>
      </w:r>
    </w:p>
    <w:p>
      <w:pPr>
        <w:spacing w:before="184"/>
        <w:ind w:left="755" w:right="0" w:firstLine="0"/>
        <w:jc w:val="left"/>
        <w:rPr>
          <w:sz w:val="32"/>
        </w:rPr>
      </w:pPr>
      <w:r>
        <w:rPr>
          <w:rFonts w:ascii="仿宋" w:eastAsia="仿宋"/>
          <w:b/>
          <w:spacing w:val="-10"/>
          <w:sz w:val="32"/>
        </w:rPr>
        <w:t xml:space="preserve">国内公务接待支出 </w:t>
      </w:r>
      <w:r>
        <w:rPr>
          <w:rFonts w:ascii="仿宋" w:eastAsia="仿宋"/>
          <w:b/>
          <w:spacing w:val="-2"/>
          <w:sz w:val="32"/>
        </w:rPr>
        <w:t>5.21</w:t>
      </w:r>
      <w:r>
        <w:rPr>
          <w:rFonts w:ascii="仿宋" w:eastAsia="仿宋"/>
          <w:b/>
          <w:spacing w:val="-71"/>
          <w:sz w:val="32"/>
        </w:rPr>
        <w:t xml:space="preserve"> </w:t>
      </w:r>
      <w:r>
        <w:rPr>
          <w:spacing w:val="-3"/>
          <w:sz w:val="32"/>
        </w:rPr>
        <w:t>万元，主要用于执行公务、开展业</w:t>
      </w:r>
    </w:p>
    <w:p>
      <w:pPr>
        <w:pStyle w:val="4"/>
        <w:spacing w:before="184" w:line="345" w:lineRule="auto"/>
        <w:ind w:right="255"/>
        <w:jc w:val="both"/>
        <w:rPr>
          <w:rFonts w:ascii="仿宋" w:eastAsia="仿宋"/>
        </w:rPr>
      </w:pPr>
      <w:r>
        <w:rPr>
          <w:spacing w:val="-4"/>
        </w:rPr>
        <w:t xml:space="preserve">务活动开支的交通费、住宿费、用餐费等。国内公务接待 </w:t>
      </w:r>
      <w:r>
        <w:rPr>
          <w:spacing w:val="-2"/>
        </w:rPr>
        <w:t>64</w:t>
      </w:r>
      <w:r>
        <w:rPr>
          <w:spacing w:val="-20"/>
        </w:rPr>
        <w:t xml:space="preserve"> 批</w:t>
      </w:r>
      <w:r>
        <w:rPr>
          <w:spacing w:val="-10"/>
        </w:rPr>
        <w:t>次，528</w:t>
      </w:r>
      <w:r>
        <w:rPr>
          <w:spacing w:val="-17"/>
        </w:rPr>
        <w:t xml:space="preserve"> 人次，共计支出 </w:t>
      </w:r>
      <w:r>
        <w:rPr>
          <w:spacing w:val="-10"/>
        </w:rPr>
        <w:t>5.21</w:t>
      </w:r>
      <w:r>
        <w:rPr>
          <w:spacing w:val="-14"/>
        </w:rPr>
        <w:t xml:space="preserve"> 万元，具体内容包括：</w:t>
      </w:r>
      <w:r>
        <w:rPr>
          <w:rFonts w:ascii="仿宋" w:eastAsia="仿宋"/>
          <w:spacing w:val="-10"/>
        </w:rPr>
        <w:t>4</w:t>
      </w:r>
      <w:r>
        <w:rPr>
          <w:rFonts w:ascii="仿宋" w:eastAsia="仿宋"/>
          <w:spacing w:val="-22"/>
        </w:rPr>
        <w:t xml:space="preserve"> 月 </w:t>
      </w:r>
      <w:r>
        <w:rPr>
          <w:rFonts w:ascii="仿宋" w:eastAsia="仿宋"/>
          <w:spacing w:val="-10"/>
        </w:rPr>
        <w:t>11</w:t>
      </w:r>
      <w:r>
        <w:rPr>
          <w:rFonts w:ascii="仿宋" w:eastAsia="仿宋"/>
          <w:spacing w:val="-18"/>
        </w:rPr>
        <w:t xml:space="preserve"> 日</w:t>
      </w:r>
      <w:r>
        <w:rPr>
          <w:rFonts w:ascii="仿宋" w:eastAsia="仿宋"/>
          <w:spacing w:val="-2"/>
        </w:rPr>
        <w:t>接待乐山市卫生应急救援指挥中心赴遂考察学习院前急救体系</w:t>
      </w:r>
      <w:r>
        <w:rPr>
          <w:rFonts w:ascii="仿宋" w:eastAsia="仿宋"/>
          <w:spacing w:val="-8"/>
        </w:rPr>
        <w:t xml:space="preserve">建设工作，用餐费 </w:t>
      </w:r>
      <w:r>
        <w:rPr>
          <w:rFonts w:ascii="仿宋" w:eastAsia="仿宋"/>
        </w:rPr>
        <w:t>998</w:t>
      </w:r>
      <w:r>
        <w:rPr>
          <w:rFonts w:ascii="仿宋" w:eastAsia="仿宋"/>
          <w:spacing w:val="-23"/>
        </w:rPr>
        <w:t xml:space="preserve"> 元；</w:t>
      </w:r>
      <w:r>
        <w:rPr>
          <w:rFonts w:ascii="仿宋" w:eastAsia="仿宋"/>
        </w:rPr>
        <w:t>4</w:t>
      </w:r>
      <w:r>
        <w:rPr>
          <w:rFonts w:ascii="仿宋" w:eastAsia="仿宋"/>
          <w:spacing w:val="-45"/>
        </w:rPr>
        <w:t xml:space="preserve"> 月 </w:t>
      </w:r>
      <w:r>
        <w:rPr>
          <w:rFonts w:ascii="仿宋" w:eastAsia="仿宋"/>
        </w:rPr>
        <w:t>22</w:t>
      </w:r>
      <w:r>
        <w:rPr>
          <w:rFonts w:ascii="仿宋" w:eastAsia="仿宋"/>
          <w:spacing w:val="-10"/>
        </w:rPr>
        <w:t xml:space="preserve"> 日攀枝花紧急医学救援中心</w:t>
      </w:r>
    </w:p>
    <w:p>
      <w:pPr>
        <w:pStyle w:val="4"/>
        <w:spacing w:before="3" w:line="345" w:lineRule="auto"/>
        <w:ind w:right="255"/>
        <w:jc w:val="both"/>
      </w:pPr>
      <w:r>
        <w:rPr>
          <w:rFonts w:ascii="仿宋" w:eastAsia="仿宋"/>
          <w:spacing w:val="-6"/>
        </w:rPr>
        <w:t xml:space="preserve">人员院前急救管理职业化培训接待，用餐费 </w:t>
      </w:r>
      <w:r>
        <w:rPr>
          <w:rFonts w:ascii="仿宋" w:eastAsia="仿宋"/>
          <w:spacing w:val="-4"/>
        </w:rPr>
        <w:t>508</w:t>
      </w:r>
      <w:r>
        <w:rPr>
          <w:rFonts w:ascii="仿宋" w:eastAsia="仿宋"/>
          <w:spacing w:val="-15"/>
        </w:rPr>
        <w:t xml:space="preserve"> 元；</w:t>
      </w:r>
      <w:r>
        <w:rPr>
          <w:rFonts w:ascii="仿宋" w:eastAsia="仿宋"/>
          <w:spacing w:val="-4"/>
        </w:rPr>
        <w:t>6</w:t>
      </w:r>
      <w:r>
        <w:rPr>
          <w:rFonts w:ascii="仿宋" w:eastAsia="仿宋"/>
          <w:spacing w:val="-26"/>
        </w:rPr>
        <w:t xml:space="preserve"> 月 </w:t>
      </w:r>
      <w:r>
        <w:rPr>
          <w:rFonts w:ascii="仿宋" w:eastAsia="仿宋"/>
          <w:spacing w:val="-4"/>
        </w:rPr>
        <w:t>29</w:t>
      </w:r>
      <w:r>
        <w:rPr>
          <w:rFonts w:ascii="仿宋" w:eastAsia="仿宋"/>
          <w:spacing w:val="-20"/>
        </w:rPr>
        <w:t xml:space="preserve"> 日</w:t>
      </w:r>
      <w:r>
        <w:rPr>
          <w:rFonts w:ascii="仿宋" w:eastAsia="仿宋"/>
          <w:spacing w:val="-7"/>
        </w:rPr>
        <w:t>成都急救指挥中心举行院前急救指挥调度培训会议接待，用餐费</w:t>
      </w:r>
      <w:r>
        <w:rPr>
          <w:rFonts w:ascii="仿宋" w:eastAsia="仿宋"/>
          <w:spacing w:val="-2"/>
        </w:rPr>
        <w:t xml:space="preserve"> 494</w:t>
      </w:r>
      <w:r>
        <w:rPr>
          <w:rFonts w:ascii="仿宋" w:eastAsia="仿宋"/>
          <w:spacing w:val="-27"/>
        </w:rPr>
        <w:t xml:space="preserve"> 元；</w:t>
      </w:r>
      <w:r>
        <w:rPr>
          <w:spacing w:val="-2"/>
        </w:rPr>
        <w:t>2023</w:t>
      </w:r>
      <w:r>
        <w:rPr>
          <w:spacing w:val="-51"/>
        </w:rPr>
        <w:t xml:space="preserve"> 年 </w:t>
      </w:r>
      <w:r>
        <w:rPr>
          <w:spacing w:val="-2"/>
        </w:rPr>
        <w:t>1</w:t>
      </w:r>
      <w:r>
        <w:rPr>
          <w:spacing w:val="-51"/>
        </w:rPr>
        <w:t xml:space="preserve"> 月 </w:t>
      </w:r>
      <w:r>
        <w:rPr>
          <w:spacing w:val="-2"/>
        </w:rPr>
        <w:t>16</w:t>
      </w:r>
      <w:r>
        <w:rPr>
          <w:spacing w:val="-11"/>
        </w:rPr>
        <w:t xml:space="preserve"> 日接待潼南区卫健学校来参加遂宁市健</w:t>
      </w:r>
    </w:p>
    <w:p>
      <w:pPr>
        <w:pStyle w:val="4"/>
        <w:spacing w:before="3"/>
      </w:pPr>
      <w:r>
        <w:rPr>
          <w:spacing w:val="-9"/>
        </w:rPr>
        <w:t xml:space="preserve">康服务产业基地落成仪式，用餐费用 </w:t>
      </w:r>
      <w:r>
        <w:rPr>
          <w:spacing w:val="-4"/>
        </w:rPr>
        <w:t>1456</w:t>
      </w:r>
      <w:r>
        <w:rPr>
          <w:spacing w:val="-29"/>
        </w:rPr>
        <w:t xml:space="preserve"> 元；</w:t>
      </w:r>
      <w:r>
        <w:rPr>
          <w:spacing w:val="-4"/>
        </w:rPr>
        <w:t>2023</w:t>
      </w:r>
      <w:r>
        <w:rPr>
          <w:spacing w:val="-53"/>
        </w:rPr>
        <w:t xml:space="preserve"> 年 </w:t>
      </w:r>
      <w:r>
        <w:rPr>
          <w:spacing w:val="-4"/>
        </w:rPr>
        <w:t>2</w:t>
      </w:r>
      <w:r>
        <w:rPr>
          <w:spacing w:val="-53"/>
        </w:rPr>
        <w:t xml:space="preserve"> 月 </w:t>
      </w:r>
      <w:r>
        <w:rPr>
          <w:spacing w:val="-4"/>
        </w:rPr>
        <w:t>3</w:t>
      </w:r>
      <w:r>
        <w:rPr>
          <w:spacing w:val="-44"/>
        </w:rPr>
        <w:t xml:space="preserve"> 日</w:t>
      </w:r>
    </w:p>
    <w:p>
      <w:pPr>
        <w:pStyle w:val="4"/>
        <w:spacing w:before="184"/>
      </w:pPr>
      <w:r>
        <w:rPr>
          <w:spacing w:val="-1"/>
        </w:rPr>
        <w:t xml:space="preserve">接待省卫健委对新冠乙类乙管专项检查组，用餐费用 </w:t>
      </w:r>
      <w:r>
        <w:t>900</w:t>
      </w:r>
      <w:r>
        <w:rPr>
          <w:spacing w:val="-10"/>
        </w:rPr>
        <w:t xml:space="preserve"> 元；</w:t>
      </w:r>
    </w:p>
    <w:p>
      <w:pPr>
        <w:pStyle w:val="4"/>
        <w:spacing w:after="0"/>
        <w:sectPr>
          <w:pgSz w:w="11910" w:h="16840"/>
          <w:pgMar w:top="1640" w:right="1275" w:bottom="900" w:left="1417" w:header="0" w:footer="700" w:gutter="0"/>
          <w:cols w:space="720" w:num="1"/>
        </w:sectPr>
      </w:pPr>
    </w:p>
    <w:p>
      <w:pPr>
        <w:pStyle w:val="4"/>
        <w:spacing w:before="28"/>
        <w:jc w:val="both"/>
      </w:pPr>
      <w:r>
        <w:rPr>
          <w:spacing w:val="-4"/>
        </w:rPr>
        <w:t>2023</w:t>
      </w:r>
      <w:r>
        <w:rPr>
          <w:spacing w:val="-54"/>
        </w:rPr>
        <w:t xml:space="preserve"> 年 </w:t>
      </w:r>
      <w:r>
        <w:rPr>
          <w:spacing w:val="-4"/>
        </w:rPr>
        <w:t>2</w:t>
      </w:r>
      <w:r>
        <w:rPr>
          <w:spacing w:val="-53"/>
        </w:rPr>
        <w:t xml:space="preserve"> 月 </w:t>
      </w:r>
      <w:r>
        <w:rPr>
          <w:spacing w:val="-4"/>
        </w:rPr>
        <w:t>17</w:t>
      </w:r>
      <w:r>
        <w:rPr>
          <w:spacing w:val="-13"/>
        </w:rPr>
        <w:t xml:space="preserve"> 日接待郎飞医疗科技有限公司来遂洽谈共享医疗</w:t>
      </w:r>
    </w:p>
    <w:p>
      <w:pPr>
        <w:pStyle w:val="4"/>
        <w:spacing w:before="184"/>
        <w:jc w:val="both"/>
      </w:pPr>
      <w:r>
        <w:rPr>
          <w:spacing w:val="-12"/>
        </w:rPr>
        <w:t xml:space="preserve">设备，用餐费用 </w:t>
      </w:r>
      <w:r>
        <w:rPr>
          <w:spacing w:val="-4"/>
        </w:rPr>
        <w:t>1050</w:t>
      </w:r>
      <w:r>
        <w:rPr>
          <w:spacing w:val="-22"/>
        </w:rPr>
        <w:t xml:space="preserve"> 元等。</w:t>
      </w:r>
    </w:p>
    <w:p>
      <w:pPr>
        <w:spacing w:before="184"/>
        <w:ind w:left="77" w:right="3528" w:firstLine="0"/>
        <w:jc w:val="center"/>
        <w:rPr>
          <w:rFonts w:ascii="仿宋" w:eastAsia="仿宋"/>
          <w:sz w:val="32"/>
        </w:rPr>
      </w:pPr>
      <w:r>
        <w:rPr>
          <w:rFonts w:ascii="仿宋" w:eastAsia="仿宋"/>
          <w:b/>
          <w:spacing w:val="-2"/>
          <w:sz w:val="32"/>
        </w:rPr>
        <w:t>外事接待支出：2023</w:t>
      </w:r>
      <w:r>
        <w:rPr>
          <w:rFonts w:ascii="仿宋" w:eastAsia="仿宋"/>
          <w:b/>
          <w:spacing w:val="-41"/>
          <w:sz w:val="32"/>
        </w:rPr>
        <w:t xml:space="preserve"> 年</w:t>
      </w:r>
      <w:r>
        <w:rPr>
          <w:rFonts w:ascii="仿宋" w:eastAsia="仿宋"/>
          <w:spacing w:val="-4"/>
          <w:sz w:val="32"/>
        </w:rPr>
        <w:t>无此支出。</w:t>
      </w:r>
    </w:p>
    <w:p>
      <w:pPr>
        <w:pStyle w:val="4"/>
        <w:spacing w:before="368"/>
        <w:ind w:left="0"/>
        <w:rPr>
          <w:rFonts w:ascii="仿宋"/>
        </w:rPr>
      </w:pPr>
    </w:p>
    <w:p>
      <w:pPr>
        <w:pStyle w:val="4"/>
        <w:ind w:left="755"/>
        <w:rPr>
          <w:rFonts w:ascii="黑体" w:eastAsia="黑体"/>
        </w:rPr>
      </w:pPr>
      <w:bookmarkStart w:id="35" w:name="八、政府性基金预算支出决算情况说明"/>
      <w:bookmarkEnd w:id="35"/>
      <w:r>
        <w:rPr>
          <w:rFonts w:ascii="黑体" w:eastAsia="黑体"/>
          <w:spacing w:val="-5"/>
        </w:rPr>
        <w:t>八、政府性基金预算支出决算情况说明</w:t>
      </w:r>
    </w:p>
    <w:p>
      <w:pPr>
        <w:pStyle w:val="4"/>
        <w:spacing w:before="184"/>
        <w:ind w:left="755"/>
      </w:pPr>
      <w:r>
        <w:rPr>
          <w:spacing w:val="-4"/>
        </w:rPr>
        <w:t>2023</w:t>
      </w:r>
      <w:r>
        <w:rPr>
          <w:spacing w:val="-16"/>
        </w:rPr>
        <w:t xml:space="preserve"> 年度政府性基金预算财政拨款支出 </w:t>
      </w:r>
      <w:r>
        <w:rPr>
          <w:spacing w:val="-4"/>
        </w:rPr>
        <w:t>2000</w:t>
      </w:r>
      <w:r>
        <w:rPr>
          <w:spacing w:val="-22"/>
        </w:rPr>
        <w:t xml:space="preserve"> 万元。</w:t>
      </w:r>
    </w:p>
    <w:p>
      <w:pPr>
        <w:pStyle w:val="4"/>
        <w:spacing w:before="368"/>
        <w:ind w:left="0"/>
      </w:pPr>
    </w:p>
    <w:p>
      <w:pPr>
        <w:pStyle w:val="4"/>
        <w:ind w:left="755"/>
        <w:rPr>
          <w:rFonts w:ascii="黑体" w:eastAsia="黑体"/>
        </w:rPr>
      </w:pPr>
      <w:r>
        <w:rPr>
          <w:rFonts w:ascii="黑体" w:eastAsia="黑体"/>
          <w:spacing w:val="-5"/>
        </w:rPr>
        <w:t>九、国有资本经营预算支出决算情况说明</w:t>
      </w:r>
    </w:p>
    <w:p>
      <w:pPr>
        <w:pStyle w:val="4"/>
        <w:spacing w:before="184"/>
        <w:ind w:left="755"/>
      </w:pPr>
      <w:r>
        <w:rPr>
          <w:spacing w:val="-4"/>
        </w:rPr>
        <w:t>2023</w:t>
      </w:r>
      <w:r>
        <w:rPr>
          <w:spacing w:val="-17"/>
        </w:rPr>
        <w:t xml:space="preserve"> 年度国有资本经营预算财政拨款支出 </w:t>
      </w:r>
      <w:r>
        <w:rPr>
          <w:spacing w:val="-4"/>
        </w:rPr>
        <w:t>0</w:t>
      </w:r>
      <w:r>
        <w:rPr>
          <w:spacing w:val="-22"/>
        </w:rPr>
        <w:t xml:space="preserve"> 万元。</w:t>
      </w:r>
    </w:p>
    <w:p>
      <w:pPr>
        <w:pStyle w:val="4"/>
        <w:spacing w:before="349"/>
        <w:ind w:left="0"/>
      </w:pPr>
    </w:p>
    <w:p>
      <w:pPr>
        <w:pStyle w:val="4"/>
        <w:ind w:left="755"/>
        <w:rPr>
          <w:rFonts w:ascii="黑体" w:eastAsia="黑体"/>
        </w:rPr>
      </w:pPr>
      <w:r>
        <w:rPr>
          <w:rFonts w:ascii="黑体" w:eastAsia="黑体"/>
          <w:spacing w:val="-5"/>
        </w:rPr>
        <w:t>十、其他重要事项的情况说明</w:t>
      </w:r>
    </w:p>
    <w:p>
      <w:pPr>
        <w:pStyle w:val="3"/>
        <w:spacing w:before="184"/>
        <w:ind w:left="0" w:right="3528"/>
        <w:jc w:val="center"/>
        <w:rPr>
          <w:rFonts w:ascii="仿宋" w:eastAsia="仿宋"/>
        </w:rPr>
      </w:pPr>
      <w:bookmarkStart w:id="36" w:name="（一）机关运行经费支出情况"/>
      <w:bookmarkEnd w:id="36"/>
      <w:r>
        <w:rPr>
          <w:rFonts w:ascii="仿宋" w:eastAsia="仿宋"/>
          <w:spacing w:val="-2"/>
        </w:rPr>
        <w:t>（一）</w:t>
      </w:r>
      <w:r>
        <w:rPr>
          <w:rFonts w:ascii="仿宋" w:eastAsia="仿宋"/>
          <w:spacing w:val="-3"/>
        </w:rPr>
        <w:t>机关运行经费支出情况</w:t>
      </w:r>
    </w:p>
    <w:p>
      <w:pPr>
        <w:pStyle w:val="4"/>
        <w:spacing w:before="184"/>
        <w:ind w:left="755"/>
      </w:pPr>
      <w:r>
        <w:t>2023</w:t>
      </w:r>
      <w:r>
        <w:rPr>
          <w:spacing w:val="-6"/>
        </w:rPr>
        <w:t xml:space="preserve"> 年度，遂宁市卫生健康委员会部门机关运行经费支出</w:t>
      </w:r>
    </w:p>
    <w:p>
      <w:pPr>
        <w:pStyle w:val="4"/>
        <w:spacing w:before="184" w:line="345" w:lineRule="auto"/>
        <w:ind w:right="256"/>
      </w:pPr>
      <w:r>
        <w:rPr>
          <w:spacing w:val="-2"/>
        </w:rPr>
        <w:t>355.92</w:t>
      </w:r>
      <w:r>
        <w:rPr>
          <w:spacing w:val="-38"/>
        </w:rPr>
        <w:t xml:space="preserve"> 万元，比 </w:t>
      </w:r>
      <w:r>
        <w:rPr>
          <w:spacing w:val="-2"/>
        </w:rPr>
        <w:t>2022</w:t>
      </w:r>
      <w:r>
        <w:rPr>
          <w:spacing w:val="-28"/>
        </w:rPr>
        <w:t xml:space="preserve"> 年度增加 </w:t>
      </w:r>
      <w:r>
        <w:rPr>
          <w:spacing w:val="-2"/>
        </w:rPr>
        <w:t>20</w:t>
      </w:r>
      <w:r>
        <w:rPr>
          <w:spacing w:val="-33"/>
        </w:rPr>
        <w:t xml:space="preserve"> 万元，增长 </w:t>
      </w:r>
      <w:r>
        <w:rPr>
          <w:spacing w:val="-2"/>
        </w:rPr>
        <w:t>5.95%主要原因是三公经费增加。</w:t>
      </w:r>
    </w:p>
    <w:p>
      <w:pPr>
        <w:pStyle w:val="3"/>
        <w:spacing w:before="2"/>
        <w:rPr>
          <w:rFonts w:ascii="仿宋" w:eastAsia="仿宋"/>
        </w:rPr>
      </w:pPr>
      <w:bookmarkStart w:id="37" w:name="（二）政府采购支出情况"/>
      <w:bookmarkEnd w:id="37"/>
      <w:r>
        <w:rPr>
          <w:rFonts w:ascii="仿宋" w:eastAsia="仿宋"/>
          <w:spacing w:val="-2"/>
        </w:rPr>
        <w:t>（二）</w:t>
      </w:r>
      <w:r>
        <w:rPr>
          <w:rFonts w:ascii="仿宋" w:eastAsia="仿宋"/>
          <w:spacing w:val="-4"/>
        </w:rPr>
        <w:t>政府采购支出情况</w:t>
      </w:r>
    </w:p>
    <w:p>
      <w:pPr>
        <w:pStyle w:val="4"/>
        <w:spacing w:before="184"/>
        <w:ind w:left="0" w:right="256"/>
        <w:jc w:val="right"/>
      </w:pPr>
      <w:r>
        <w:t>2023</w:t>
      </w:r>
      <w:r>
        <w:rPr>
          <w:spacing w:val="-6"/>
        </w:rPr>
        <w:t xml:space="preserve"> 年度，遂宁市卫生健康委员会部门政府采购支出总额</w:t>
      </w:r>
    </w:p>
    <w:p>
      <w:pPr>
        <w:pStyle w:val="4"/>
        <w:spacing w:before="184"/>
        <w:ind w:left="0" w:right="254"/>
        <w:jc w:val="right"/>
      </w:pPr>
      <w:r>
        <w:t>17844.28</w:t>
      </w:r>
      <w:r>
        <w:rPr>
          <w:spacing w:val="-13"/>
        </w:rPr>
        <w:t xml:space="preserve"> 万元，其中：政府采购货物支出 </w:t>
      </w:r>
      <w:r>
        <w:t>10603.5</w:t>
      </w:r>
      <w:r>
        <w:rPr>
          <w:spacing w:val="-13"/>
        </w:rPr>
        <w:t xml:space="preserve"> 万元、政府</w:t>
      </w:r>
    </w:p>
    <w:p>
      <w:pPr>
        <w:pStyle w:val="4"/>
        <w:spacing w:before="184"/>
        <w:ind w:left="0" w:right="254"/>
        <w:jc w:val="right"/>
      </w:pPr>
      <w:r>
        <w:rPr>
          <w:spacing w:val="-14"/>
        </w:rPr>
        <w:t xml:space="preserve">采购工程支出 </w:t>
      </w:r>
      <w:r>
        <w:rPr>
          <w:spacing w:val="-4"/>
        </w:rPr>
        <w:t>0</w:t>
      </w:r>
      <w:r>
        <w:rPr>
          <w:spacing w:val="-20"/>
        </w:rPr>
        <w:t xml:space="preserve"> 万元、政府采购服务支出 </w:t>
      </w:r>
      <w:r>
        <w:rPr>
          <w:spacing w:val="-4"/>
        </w:rPr>
        <w:t>7240.77</w:t>
      </w:r>
      <w:r>
        <w:rPr>
          <w:spacing w:val="-22"/>
        </w:rPr>
        <w:t xml:space="preserve"> 万元。主要用</w:t>
      </w:r>
    </w:p>
    <w:p>
      <w:pPr>
        <w:pStyle w:val="4"/>
        <w:spacing w:before="184" w:line="345" w:lineRule="auto"/>
        <w:ind w:right="254"/>
        <w:jc w:val="both"/>
      </w:pPr>
      <w:r>
        <w:rPr>
          <w:spacing w:val="-18"/>
        </w:rPr>
        <w:t xml:space="preserve">于医疗设备、办公家具、用具等。授予中小企业合同金额 </w:t>
      </w:r>
      <w:r>
        <w:rPr>
          <w:spacing w:val="-2"/>
        </w:rPr>
        <w:t>5651.2</w:t>
      </w:r>
      <w:r>
        <w:t>万元，占政府采购支出总额的 31.67%，其中：授予小微企业合</w:t>
      </w:r>
      <w:r>
        <w:rPr>
          <w:spacing w:val="-9"/>
        </w:rPr>
        <w:t xml:space="preserve">同金额 </w:t>
      </w:r>
      <w:r>
        <w:t>3796.32</w:t>
      </w:r>
      <w:r>
        <w:rPr>
          <w:spacing w:val="-8"/>
        </w:rPr>
        <w:t xml:space="preserve"> 万元，占政府采购支出总额的 </w:t>
      </w:r>
      <w:r>
        <w:t>21.27%。</w:t>
      </w:r>
    </w:p>
    <w:p>
      <w:pPr>
        <w:pStyle w:val="4"/>
        <w:spacing w:after="0" w:line="345" w:lineRule="auto"/>
        <w:jc w:val="both"/>
        <w:sectPr>
          <w:pgSz w:w="11910" w:h="16840"/>
          <w:pgMar w:top="1640" w:right="1275" w:bottom="900" w:left="1417" w:header="0" w:footer="700" w:gutter="0"/>
          <w:cols w:space="720" w:num="1"/>
        </w:sectPr>
      </w:pPr>
    </w:p>
    <w:p>
      <w:pPr>
        <w:pStyle w:val="3"/>
        <w:spacing w:before="28"/>
        <w:rPr>
          <w:rFonts w:ascii="仿宋" w:eastAsia="仿宋"/>
        </w:rPr>
      </w:pPr>
      <w:bookmarkStart w:id="38" w:name="（三）国有资产占有使用情况"/>
      <w:bookmarkEnd w:id="38"/>
      <w:r>
        <w:rPr>
          <w:rFonts w:ascii="仿宋" w:eastAsia="仿宋"/>
          <w:spacing w:val="-2"/>
        </w:rPr>
        <w:t>（三）</w:t>
      </w:r>
      <w:r>
        <w:rPr>
          <w:rFonts w:ascii="仿宋" w:eastAsia="仿宋"/>
          <w:spacing w:val="-3"/>
        </w:rPr>
        <w:t>国有资产占有使用情况</w:t>
      </w:r>
    </w:p>
    <w:p>
      <w:pPr>
        <w:pStyle w:val="4"/>
        <w:spacing w:before="184" w:line="345" w:lineRule="auto"/>
        <w:ind w:right="254" w:firstLine="640"/>
        <w:jc w:val="both"/>
      </w:pPr>
      <w:r>
        <w:rPr>
          <w:spacing w:val="-2"/>
        </w:rPr>
        <w:t>截至2023年12月31</w:t>
      </w:r>
      <w:r>
        <w:rPr>
          <w:spacing w:val="-14"/>
        </w:rPr>
        <w:t>日，遂宁市卫生健康委员会部门共有车辆</w:t>
      </w:r>
      <w:r>
        <w:rPr>
          <w:spacing w:val="-2"/>
        </w:rPr>
        <w:t xml:space="preserve"> </w:t>
      </w:r>
      <w:r>
        <w:rPr>
          <w:spacing w:val="-4"/>
        </w:rPr>
        <w:t>64辆，其中：应急保障用车22辆、特种专业技术用车34辆、其他</w:t>
      </w:r>
      <w:r>
        <w:rPr>
          <w:spacing w:val="-2"/>
        </w:rPr>
        <w:t>用车8</w:t>
      </w:r>
      <w:r>
        <w:rPr>
          <w:spacing w:val="-13"/>
        </w:rPr>
        <w:t>辆，其他用车主要是用于用于日常工作。单价</w:t>
      </w:r>
      <w:r>
        <w:rPr>
          <w:spacing w:val="-2"/>
        </w:rPr>
        <w:t>100万元以上设备（不含车辆）347台（套</w:t>
      </w:r>
      <w:r>
        <w:rPr>
          <w:spacing w:val="-161"/>
        </w:rPr>
        <w:t>）</w:t>
      </w:r>
      <w:r>
        <w:rPr>
          <w:spacing w:val="-2"/>
        </w:rPr>
        <w:t>。</w:t>
      </w:r>
    </w:p>
    <w:p>
      <w:pPr>
        <w:pStyle w:val="3"/>
        <w:spacing w:before="4"/>
        <w:rPr>
          <w:rFonts w:ascii="仿宋" w:eastAsia="仿宋"/>
        </w:rPr>
      </w:pPr>
      <w:bookmarkStart w:id="39" w:name="（四）预算绩效管理情况"/>
      <w:bookmarkEnd w:id="39"/>
      <w:r>
        <w:rPr>
          <w:rFonts w:ascii="仿宋" w:eastAsia="仿宋"/>
          <w:spacing w:val="-2"/>
        </w:rPr>
        <w:t>（四）</w:t>
      </w:r>
      <w:r>
        <w:rPr>
          <w:rFonts w:ascii="仿宋" w:eastAsia="仿宋"/>
          <w:spacing w:val="-4"/>
        </w:rPr>
        <w:t>预算绩效管理情况</w:t>
      </w:r>
    </w:p>
    <w:p>
      <w:pPr>
        <w:pStyle w:val="4"/>
        <w:spacing w:before="167" w:line="336" w:lineRule="auto"/>
        <w:ind w:right="95" w:firstLine="640"/>
      </w:pPr>
      <w:r>
        <w:rPr>
          <w:spacing w:val="-17"/>
        </w:rPr>
        <w:t xml:space="preserve">根据预算绩效管理要求，本部门在 </w:t>
      </w:r>
      <w:r>
        <w:rPr>
          <w:spacing w:val="-2"/>
        </w:rPr>
        <w:t>2023</w:t>
      </w:r>
      <w:r>
        <w:rPr>
          <w:spacing w:val="-11"/>
        </w:rPr>
        <w:t xml:space="preserve"> 年度预算编制阶段，</w:t>
      </w:r>
      <w:r>
        <w:rPr>
          <w:spacing w:val="-2"/>
        </w:rPr>
        <w:t>组织对考试考务工作经费、老龄健康工作经费、医改工作经费、宣传经费、信息化建设工作经费、爱国城市卫生复审项目、卫监设备购置经费、卫监设备购置经费、行政许可工作经费、辅助管</w:t>
      </w:r>
      <w:r>
        <w:rPr>
          <w:spacing w:val="-13"/>
        </w:rPr>
        <w:t>理专项经费、辅助管理专项经费、疾控机构检验检测设备运转保</w:t>
      </w:r>
      <w:r>
        <w:rPr>
          <w:spacing w:val="-7"/>
        </w:rPr>
        <w:t xml:space="preserve">障专项等等 </w:t>
      </w:r>
      <w:r>
        <w:t>29</w:t>
      </w:r>
      <w:r>
        <w:rPr>
          <w:spacing w:val="-8"/>
        </w:rPr>
        <w:t xml:space="preserve"> 个项目开展了预算事前绩效评估，对 </w:t>
      </w:r>
      <w:r>
        <w:t>388</w:t>
      </w:r>
      <w:r>
        <w:rPr>
          <w:spacing w:val="-11"/>
        </w:rPr>
        <w:t xml:space="preserve"> 个项目</w:t>
      </w:r>
    </w:p>
    <w:p>
      <w:pPr>
        <w:pStyle w:val="4"/>
        <w:spacing w:line="402" w:lineRule="exact"/>
      </w:pPr>
      <w:r>
        <w:rPr>
          <w:spacing w:val="-6"/>
        </w:rPr>
        <w:t xml:space="preserve">编制了绩效目标，预算执行过程中，选取 </w:t>
      </w:r>
      <w:r>
        <w:rPr>
          <w:spacing w:val="-2"/>
        </w:rPr>
        <w:t>29</w:t>
      </w:r>
      <w:r>
        <w:rPr>
          <w:spacing w:val="-13"/>
        </w:rPr>
        <w:t xml:space="preserve"> 个项目开展绩效监</w:t>
      </w:r>
    </w:p>
    <w:p>
      <w:pPr>
        <w:pStyle w:val="4"/>
        <w:spacing w:before="165"/>
      </w:pPr>
      <w:r>
        <w:rPr>
          <w:spacing w:val="-8"/>
        </w:rPr>
        <w:t>控。</w:t>
      </w:r>
    </w:p>
    <w:p>
      <w:pPr>
        <w:pStyle w:val="4"/>
        <w:spacing w:before="148" w:line="324" w:lineRule="auto"/>
        <w:ind w:right="95" w:firstLine="340"/>
      </w:pPr>
      <w:r>
        <w:rPr>
          <w:spacing w:val="-5"/>
        </w:rPr>
        <w:t xml:space="preserve">组织对 </w:t>
      </w:r>
      <w:r>
        <w:t>2023</w:t>
      </w:r>
      <w:r>
        <w:rPr>
          <w:spacing w:val="-5"/>
        </w:rPr>
        <w:t xml:space="preserve"> 年度一般公共预算、政府性基金预算、国有资本</w:t>
      </w:r>
      <w:r>
        <w:rPr>
          <w:spacing w:val="-13"/>
        </w:rPr>
        <w:t>经营预算、社会保险基金预算以及资本资产、债券资金等全面开</w:t>
      </w:r>
      <w:r>
        <w:rPr>
          <w:spacing w:val="-21"/>
        </w:rPr>
        <w:t>展绩效自评，形成遂宁市卫生健康委部门整体</w:t>
      </w:r>
      <w:r>
        <w:rPr>
          <w:spacing w:val="-2"/>
        </w:rPr>
        <w:t>（含部门预算项目）绩效自评报告、新冠疫情防控、计划生育服务、卫生健康服务、</w:t>
      </w:r>
      <w:r>
        <w:rPr>
          <w:spacing w:val="-12"/>
        </w:rPr>
        <w:t>重大传染病防控、基本公共卫生服务、基本药物制度等专项预算项目绩效自评报告，遂宁市卫生健康委员会部门整体</w:t>
      </w:r>
      <w:r>
        <w:rPr>
          <w:spacing w:val="-2"/>
        </w:rPr>
        <w:t>（含部门预</w:t>
      </w:r>
      <w:r>
        <w:t>算项目）</w:t>
      </w:r>
      <w:r>
        <w:rPr>
          <w:spacing w:val="-10"/>
        </w:rPr>
        <w:t xml:space="preserve">绩效自评得分为 </w:t>
      </w:r>
      <w:r>
        <w:t>86.71</w:t>
      </w:r>
      <w:r>
        <w:rPr>
          <w:spacing w:val="-9"/>
        </w:rPr>
        <w:t xml:space="preserve"> 分，绩效自评综述：我系统严格</w:t>
      </w:r>
      <w:r>
        <w:rPr>
          <w:spacing w:val="-2"/>
        </w:rPr>
        <w:t>遵守财经纪律，严格预算约束，认真陆拾了厉行节约规定，严格</w:t>
      </w:r>
      <w:r>
        <w:rPr>
          <w:spacing w:val="-12"/>
        </w:rPr>
        <w:t>控制一般性支出，提高了预算执行效率总体优良，专项预算项目</w:t>
      </w:r>
    </w:p>
    <w:p>
      <w:pPr>
        <w:pStyle w:val="4"/>
        <w:spacing w:after="0" w:line="324" w:lineRule="auto"/>
        <w:sectPr>
          <w:pgSz w:w="11910" w:h="16840"/>
          <w:pgMar w:top="1640" w:right="1275" w:bottom="900" w:left="1417" w:header="0" w:footer="700" w:gutter="0"/>
          <w:cols w:space="720" w:num="1"/>
        </w:sectPr>
      </w:pPr>
    </w:p>
    <w:p>
      <w:pPr>
        <w:pStyle w:val="4"/>
        <w:spacing w:before="37"/>
        <w:ind w:left="1" w:right="143"/>
        <w:jc w:val="center"/>
      </w:pPr>
      <w:r>
        <w:rPr>
          <w:spacing w:val="-5"/>
        </w:rPr>
        <w:t>绩效自评报告详见附件。</w:t>
      </w: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spacing w:before="388"/>
        <w:ind w:left="0"/>
      </w:pPr>
    </w:p>
    <w:p>
      <w:pPr>
        <w:pStyle w:val="2"/>
      </w:pPr>
      <w:bookmarkStart w:id="40" w:name="第三部分  名词解释"/>
      <w:bookmarkEnd w:id="40"/>
      <w:r>
        <w:rPr>
          <w:spacing w:val="-6"/>
        </w:rPr>
        <w:t>第三部分  名词解释</w:t>
      </w:r>
    </w:p>
    <w:p>
      <w:pPr>
        <w:pStyle w:val="4"/>
        <w:spacing w:before="281"/>
        <w:ind w:left="0"/>
        <w:rPr>
          <w:rFonts w:ascii="黑体"/>
        </w:rPr>
      </w:pPr>
    </w:p>
    <w:p>
      <w:pPr>
        <w:pStyle w:val="9"/>
        <w:numPr>
          <w:ilvl w:val="0"/>
          <w:numId w:val="6"/>
        </w:numPr>
        <w:tabs>
          <w:tab w:val="left" w:pos="1073"/>
        </w:tabs>
        <w:spacing w:before="0" w:after="0" w:line="240" w:lineRule="auto"/>
        <w:ind w:left="1073" w:right="0" w:hanging="318"/>
        <w:jc w:val="left"/>
        <w:rPr>
          <w:sz w:val="32"/>
        </w:rPr>
      </w:pPr>
      <w:r>
        <w:rPr>
          <w:spacing w:val="-15"/>
          <w:sz w:val="32"/>
        </w:rPr>
        <w:t>财政拨款收入：指单位从同级财政部门取得的财政预算资</w:t>
      </w:r>
    </w:p>
    <w:p>
      <w:pPr>
        <w:pStyle w:val="4"/>
        <w:spacing w:before="208"/>
      </w:pPr>
      <w:r>
        <w:rPr>
          <w:spacing w:val="-8"/>
        </w:rPr>
        <w:t>金。</w:t>
      </w:r>
    </w:p>
    <w:p>
      <w:pPr>
        <w:pStyle w:val="9"/>
        <w:numPr>
          <w:ilvl w:val="0"/>
          <w:numId w:val="6"/>
        </w:numPr>
        <w:tabs>
          <w:tab w:val="left" w:pos="1072"/>
        </w:tabs>
        <w:spacing w:before="360" w:after="0" w:line="360" w:lineRule="auto"/>
        <w:ind w:left="114" w:right="256" w:firstLine="640"/>
        <w:jc w:val="left"/>
        <w:rPr>
          <w:sz w:val="32"/>
        </w:rPr>
      </w:pPr>
      <w:r>
        <w:rPr>
          <w:spacing w:val="-14"/>
          <w:sz w:val="32"/>
        </w:rPr>
        <w:t>事业收入：指事业单位开展专业业务活动及辅助活动取得</w:t>
      </w:r>
      <w:r>
        <w:rPr>
          <w:spacing w:val="-4"/>
          <w:sz w:val="32"/>
        </w:rPr>
        <w:t>的收入。</w:t>
      </w:r>
    </w:p>
    <w:p>
      <w:pPr>
        <w:pStyle w:val="9"/>
        <w:numPr>
          <w:ilvl w:val="0"/>
          <w:numId w:val="6"/>
        </w:numPr>
        <w:tabs>
          <w:tab w:val="left" w:pos="1072"/>
        </w:tabs>
        <w:spacing w:before="148" w:after="0" w:line="360" w:lineRule="auto"/>
        <w:ind w:left="114" w:right="256" w:firstLine="640"/>
        <w:jc w:val="left"/>
        <w:rPr>
          <w:sz w:val="32"/>
        </w:rPr>
      </w:pPr>
      <w:r>
        <w:rPr>
          <w:spacing w:val="-14"/>
          <w:sz w:val="32"/>
        </w:rPr>
        <w:t>经营收入：指事业单位在专业业务活动及其辅助活动之外</w:t>
      </w:r>
      <w:r>
        <w:rPr>
          <w:spacing w:val="-2"/>
          <w:sz w:val="32"/>
        </w:rPr>
        <w:t>开展非独立核算经营活动取得的收入。</w:t>
      </w:r>
    </w:p>
    <w:p>
      <w:pPr>
        <w:pStyle w:val="9"/>
        <w:numPr>
          <w:ilvl w:val="0"/>
          <w:numId w:val="6"/>
        </w:numPr>
        <w:tabs>
          <w:tab w:val="left" w:pos="1072"/>
        </w:tabs>
        <w:spacing w:before="151" w:after="0" w:line="360" w:lineRule="auto"/>
        <w:ind w:left="114" w:right="255" w:firstLine="640"/>
        <w:jc w:val="left"/>
        <w:rPr>
          <w:sz w:val="32"/>
        </w:rPr>
      </w:pPr>
      <w:r>
        <w:rPr>
          <w:spacing w:val="-12"/>
          <w:sz w:val="32"/>
        </w:rPr>
        <w:t>其他收入：指单位取得的除上述收入以外的各项收入，如</w:t>
      </w:r>
      <w:r>
        <w:rPr>
          <w:spacing w:val="-2"/>
          <w:sz w:val="32"/>
        </w:rPr>
        <w:t>收到卫健委拨付的防疫资金等。</w:t>
      </w:r>
    </w:p>
    <w:p>
      <w:pPr>
        <w:pStyle w:val="9"/>
        <w:spacing w:after="0" w:line="360" w:lineRule="auto"/>
        <w:jc w:val="left"/>
        <w:rPr>
          <w:sz w:val="32"/>
        </w:rPr>
        <w:sectPr>
          <w:pgSz w:w="11910" w:h="16840"/>
          <w:pgMar w:top="1600" w:right="1275" w:bottom="900" w:left="1417" w:header="0" w:footer="700" w:gutter="0"/>
          <w:cols w:space="720" w:num="1"/>
        </w:sectPr>
      </w:pPr>
    </w:p>
    <w:p>
      <w:pPr>
        <w:pStyle w:val="9"/>
        <w:numPr>
          <w:ilvl w:val="0"/>
          <w:numId w:val="6"/>
        </w:numPr>
        <w:tabs>
          <w:tab w:val="left" w:pos="1072"/>
        </w:tabs>
        <w:spacing w:before="35" w:after="0" w:line="360" w:lineRule="auto"/>
        <w:ind w:left="114" w:right="254" w:firstLine="640"/>
        <w:jc w:val="left"/>
        <w:rPr>
          <w:sz w:val="32"/>
        </w:rPr>
      </w:pPr>
      <w:r>
        <w:rPr>
          <w:spacing w:val="-13"/>
          <w:sz w:val="32"/>
        </w:rPr>
        <w:t>使用非财政拨款结余：指事业单位使用以前年度积累的非</w:t>
      </w:r>
      <w:r>
        <w:rPr>
          <w:spacing w:val="-2"/>
          <w:sz w:val="32"/>
        </w:rPr>
        <w:t>财政拨款结余弥补当年收支差额的金额。</w:t>
      </w:r>
    </w:p>
    <w:p>
      <w:pPr>
        <w:pStyle w:val="9"/>
        <w:numPr>
          <w:ilvl w:val="0"/>
          <w:numId w:val="6"/>
        </w:numPr>
        <w:tabs>
          <w:tab w:val="left" w:pos="1072"/>
        </w:tabs>
        <w:spacing w:before="149" w:after="0" w:line="360" w:lineRule="auto"/>
        <w:ind w:left="114" w:right="254" w:firstLine="640"/>
        <w:jc w:val="left"/>
        <w:rPr>
          <w:sz w:val="32"/>
        </w:rPr>
      </w:pPr>
      <w:r>
        <w:rPr>
          <w:spacing w:val="-12"/>
          <w:sz w:val="32"/>
        </w:rPr>
        <w:t>年初结转和结余：指以前年度尚未完成、结转到本年按有</w:t>
      </w:r>
      <w:r>
        <w:rPr>
          <w:spacing w:val="-2"/>
          <w:sz w:val="32"/>
        </w:rPr>
        <w:t>关规定继续使用的资金。</w:t>
      </w:r>
    </w:p>
    <w:p>
      <w:pPr>
        <w:pStyle w:val="9"/>
        <w:numPr>
          <w:ilvl w:val="0"/>
          <w:numId w:val="6"/>
        </w:numPr>
        <w:tabs>
          <w:tab w:val="left" w:pos="1072"/>
        </w:tabs>
        <w:spacing w:before="151" w:after="0" w:line="360" w:lineRule="auto"/>
        <w:ind w:left="114" w:right="138" w:firstLine="640"/>
        <w:jc w:val="left"/>
        <w:rPr>
          <w:sz w:val="32"/>
        </w:rPr>
      </w:pPr>
      <w:r>
        <w:rPr>
          <w:spacing w:val="-2"/>
          <w:sz w:val="32"/>
        </w:rPr>
        <w:t>结余分配：指事业单位按照会计制度规定缴纳的所得税、提取的专用结余以及转入非财政拨款结余的金额等。</w:t>
      </w:r>
    </w:p>
    <w:p>
      <w:pPr>
        <w:pStyle w:val="4"/>
        <w:spacing w:before="149" w:line="360" w:lineRule="auto"/>
        <w:ind w:right="254" w:firstLine="640"/>
      </w:pPr>
      <w:r>
        <w:rPr>
          <w:spacing w:val="-2"/>
        </w:rPr>
        <w:t>8、年末结转和结余：指单位按有关规定结转到下年或以后年度继续使用的资金。</w:t>
      </w:r>
    </w:p>
    <w:p>
      <w:pPr>
        <w:pStyle w:val="9"/>
        <w:numPr>
          <w:ilvl w:val="0"/>
          <w:numId w:val="7"/>
        </w:numPr>
        <w:tabs>
          <w:tab w:val="left" w:pos="1072"/>
        </w:tabs>
        <w:spacing w:before="151" w:after="0" w:line="360" w:lineRule="auto"/>
        <w:ind w:left="114" w:right="95" w:firstLine="640"/>
        <w:jc w:val="left"/>
        <w:rPr>
          <w:sz w:val="32"/>
        </w:rPr>
      </w:pPr>
      <w:r>
        <w:rPr>
          <w:spacing w:val="-6"/>
          <w:sz w:val="32"/>
        </w:rPr>
        <w:t>社会保障和就业支出（208）行政事业单位养老支出（05）</w:t>
      </w:r>
      <w:r>
        <w:rPr>
          <w:spacing w:val="-2"/>
          <w:sz w:val="32"/>
        </w:rPr>
        <w:t>行政单位离退休</w:t>
      </w:r>
      <w:r>
        <w:rPr>
          <w:spacing w:val="30"/>
          <w:sz w:val="32"/>
        </w:rPr>
        <w:t>（</w:t>
      </w:r>
      <w:r>
        <w:rPr>
          <w:spacing w:val="29"/>
          <w:sz w:val="32"/>
        </w:rPr>
        <w:t>01</w:t>
      </w:r>
      <w:r>
        <w:rPr>
          <w:spacing w:val="-131"/>
          <w:sz w:val="32"/>
        </w:rPr>
        <w:t>）</w:t>
      </w:r>
      <w:r>
        <w:rPr>
          <w:spacing w:val="1"/>
          <w:sz w:val="32"/>
        </w:rPr>
        <w:t>：反映行政单位</w:t>
      </w:r>
      <w:r>
        <w:rPr>
          <w:spacing w:val="-2"/>
          <w:sz w:val="32"/>
        </w:rPr>
        <w:t>（包括实行公务员管理的事业单位）开支的离退休经费。</w:t>
      </w:r>
    </w:p>
    <w:p>
      <w:pPr>
        <w:pStyle w:val="9"/>
        <w:numPr>
          <w:ilvl w:val="0"/>
          <w:numId w:val="7"/>
        </w:numPr>
        <w:tabs>
          <w:tab w:val="left" w:pos="1232"/>
        </w:tabs>
        <w:spacing w:before="149" w:after="0" w:line="360" w:lineRule="auto"/>
        <w:ind w:left="114" w:right="95" w:firstLine="640"/>
        <w:jc w:val="left"/>
        <w:rPr>
          <w:sz w:val="32"/>
        </w:rPr>
      </w:pPr>
      <w:r>
        <w:rPr>
          <w:spacing w:val="-14"/>
          <w:sz w:val="32"/>
        </w:rPr>
        <w:t>社会保障和就业支出</w:t>
      </w:r>
      <w:r>
        <w:rPr>
          <w:spacing w:val="-4"/>
          <w:sz w:val="32"/>
        </w:rPr>
        <w:t>（208）</w:t>
      </w:r>
      <w:r>
        <w:rPr>
          <w:spacing w:val="-13"/>
          <w:sz w:val="32"/>
        </w:rPr>
        <w:t>行政事业单位养老支出</w:t>
      </w:r>
      <w:r>
        <w:rPr>
          <w:spacing w:val="-4"/>
          <w:sz w:val="32"/>
        </w:rPr>
        <w:t>（05）</w:t>
      </w:r>
      <w:r>
        <w:rPr>
          <w:spacing w:val="-2"/>
          <w:sz w:val="32"/>
        </w:rPr>
        <w:t>事业单位离退休</w:t>
      </w:r>
      <w:r>
        <w:rPr>
          <w:spacing w:val="31"/>
          <w:sz w:val="32"/>
        </w:rPr>
        <w:t>（</w:t>
      </w:r>
      <w:r>
        <w:rPr>
          <w:spacing w:val="30"/>
          <w:sz w:val="32"/>
        </w:rPr>
        <w:t>0</w:t>
      </w:r>
      <w:r>
        <w:rPr>
          <w:spacing w:val="27"/>
          <w:sz w:val="32"/>
        </w:rPr>
        <w:t>1</w:t>
      </w:r>
      <w:r>
        <w:rPr>
          <w:spacing w:val="-130"/>
          <w:sz w:val="32"/>
        </w:rPr>
        <w:t>）</w:t>
      </w:r>
      <w:r>
        <w:rPr>
          <w:spacing w:val="-2"/>
          <w:sz w:val="32"/>
        </w:rPr>
        <w:t>：反映单位退休事业人员离退休经费</w:t>
      </w:r>
    </w:p>
    <w:p>
      <w:pPr>
        <w:pStyle w:val="9"/>
        <w:numPr>
          <w:ilvl w:val="0"/>
          <w:numId w:val="7"/>
        </w:numPr>
        <w:tabs>
          <w:tab w:val="left" w:pos="1232"/>
        </w:tabs>
        <w:spacing w:before="151" w:after="0" w:line="360" w:lineRule="auto"/>
        <w:ind w:left="114" w:right="95" w:firstLine="640"/>
        <w:jc w:val="left"/>
        <w:rPr>
          <w:sz w:val="32"/>
        </w:rPr>
      </w:pPr>
      <w:r>
        <w:rPr>
          <w:spacing w:val="-14"/>
          <w:sz w:val="32"/>
        </w:rPr>
        <w:t>社会保障和就业支出</w:t>
      </w:r>
      <w:r>
        <w:rPr>
          <w:spacing w:val="-4"/>
          <w:sz w:val="32"/>
        </w:rPr>
        <w:t>（208）</w:t>
      </w:r>
      <w:r>
        <w:rPr>
          <w:spacing w:val="-13"/>
          <w:sz w:val="32"/>
        </w:rPr>
        <w:t>行政事业单位养老支出</w:t>
      </w:r>
      <w:r>
        <w:rPr>
          <w:spacing w:val="-4"/>
          <w:sz w:val="32"/>
        </w:rPr>
        <w:t>（05）</w:t>
      </w:r>
      <w:r>
        <w:rPr>
          <w:spacing w:val="-2"/>
          <w:sz w:val="32"/>
        </w:rPr>
        <w:t>机关事业单位基本养老保险缴费支出</w:t>
      </w:r>
      <w:r>
        <w:rPr>
          <w:spacing w:val="30"/>
          <w:sz w:val="32"/>
        </w:rPr>
        <w:t>（</w:t>
      </w:r>
      <w:r>
        <w:rPr>
          <w:spacing w:val="29"/>
          <w:sz w:val="32"/>
        </w:rPr>
        <w:t>05</w:t>
      </w:r>
      <w:r>
        <w:rPr>
          <w:spacing w:val="-131"/>
          <w:sz w:val="32"/>
        </w:rPr>
        <w:t>）</w:t>
      </w:r>
      <w:r>
        <w:rPr>
          <w:spacing w:val="-1"/>
          <w:sz w:val="32"/>
        </w:rPr>
        <w:t>：指反映机关事业单</w:t>
      </w:r>
      <w:r>
        <w:rPr>
          <w:spacing w:val="-2"/>
          <w:sz w:val="32"/>
        </w:rPr>
        <w:t>位实施养老保险制度由单位缴纳的基本养老保险费支出。</w:t>
      </w:r>
    </w:p>
    <w:p>
      <w:pPr>
        <w:pStyle w:val="9"/>
        <w:numPr>
          <w:ilvl w:val="0"/>
          <w:numId w:val="7"/>
        </w:numPr>
        <w:tabs>
          <w:tab w:val="left" w:pos="1232"/>
        </w:tabs>
        <w:spacing w:before="149" w:after="0" w:line="360" w:lineRule="auto"/>
        <w:ind w:left="114" w:right="95" w:firstLine="640"/>
        <w:jc w:val="left"/>
        <w:rPr>
          <w:sz w:val="32"/>
        </w:rPr>
      </w:pPr>
      <w:r>
        <w:rPr>
          <w:spacing w:val="-10"/>
          <w:sz w:val="32"/>
        </w:rPr>
        <w:t>社会保障和就业支出（208）抚恤（08）死亡抚恤</w:t>
      </w:r>
      <w:r>
        <w:rPr>
          <w:spacing w:val="22"/>
          <w:sz w:val="32"/>
        </w:rPr>
        <w:t>（</w:t>
      </w:r>
      <w:r>
        <w:rPr>
          <w:spacing w:val="23"/>
          <w:sz w:val="32"/>
        </w:rPr>
        <w:t>0</w:t>
      </w:r>
      <w:r>
        <w:rPr>
          <w:spacing w:val="20"/>
          <w:sz w:val="32"/>
        </w:rPr>
        <w:t>1</w:t>
      </w:r>
      <w:r>
        <w:rPr>
          <w:spacing w:val="-137"/>
          <w:sz w:val="32"/>
        </w:rPr>
        <w:t>）</w:t>
      </w:r>
      <w:r>
        <w:rPr>
          <w:spacing w:val="22"/>
          <w:sz w:val="32"/>
        </w:rPr>
        <w:t>：</w:t>
      </w:r>
      <w:r>
        <w:rPr>
          <w:spacing w:val="-11"/>
          <w:sz w:val="32"/>
        </w:rPr>
        <w:t>指反映按规定用于烈士和牺牲、病故人员家属的一次性和定期抚</w:t>
      </w:r>
      <w:r>
        <w:rPr>
          <w:spacing w:val="-2"/>
          <w:sz w:val="32"/>
        </w:rPr>
        <w:t>恤金以及丧葬补助费。</w:t>
      </w:r>
    </w:p>
    <w:p>
      <w:pPr>
        <w:pStyle w:val="9"/>
        <w:spacing w:after="0" w:line="360" w:lineRule="auto"/>
        <w:jc w:val="left"/>
        <w:rPr>
          <w:sz w:val="32"/>
        </w:rPr>
        <w:sectPr>
          <w:pgSz w:w="11910" w:h="16840"/>
          <w:pgMar w:top="1580" w:right="1275" w:bottom="900" w:left="1417" w:header="0" w:footer="700" w:gutter="0"/>
          <w:cols w:space="720" w:num="1"/>
        </w:sectPr>
      </w:pPr>
    </w:p>
    <w:p>
      <w:pPr>
        <w:pStyle w:val="9"/>
        <w:numPr>
          <w:ilvl w:val="0"/>
          <w:numId w:val="7"/>
        </w:numPr>
        <w:tabs>
          <w:tab w:val="left" w:pos="1233"/>
        </w:tabs>
        <w:spacing w:before="35" w:after="0" w:line="240" w:lineRule="auto"/>
        <w:ind w:left="1233" w:right="0" w:hanging="478"/>
        <w:jc w:val="left"/>
        <w:rPr>
          <w:sz w:val="32"/>
        </w:rPr>
      </w:pPr>
      <w:r>
        <w:rPr>
          <w:spacing w:val="-8"/>
          <w:sz w:val="32"/>
        </w:rPr>
        <w:t>卫生健康支出（210）卫生健康管理事务（01）</w:t>
      </w:r>
      <w:r>
        <w:rPr>
          <w:spacing w:val="-9"/>
          <w:sz w:val="32"/>
        </w:rPr>
        <w:t>行政运行</w:t>
      </w:r>
    </w:p>
    <w:p>
      <w:pPr>
        <w:pStyle w:val="4"/>
        <w:spacing w:before="208"/>
      </w:pPr>
      <w:r>
        <w:rPr>
          <w:spacing w:val="17"/>
        </w:rPr>
        <w:t>（</w:t>
      </w:r>
      <w:r>
        <w:rPr>
          <w:spacing w:val="18"/>
        </w:rPr>
        <w:t>01</w:t>
      </w:r>
      <w:r>
        <w:rPr>
          <w:spacing w:val="-144"/>
        </w:rPr>
        <w:t>）</w:t>
      </w:r>
      <w:r>
        <w:rPr>
          <w:spacing w:val="-14"/>
        </w:rPr>
        <w:t>：反映单位的基本支出。</w:t>
      </w:r>
    </w:p>
    <w:p>
      <w:pPr>
        <w:pStyle w:val="9"/>
        <w:numPr>
          <w:ilvl w:val="0"/>
          <w:numId w:val="7"/>
        </w:numPr>
        <w:tabs>
          <w:tab w:val="left" w:pos="1232"/>
        </w:tabs>
        <w:spacing w:before="357" w:after="0" w:line="360" w:lineRule="auto"/>
        <w:ind w:left="114" w:right="254" w:firstLine="640"/>
        <w:jc w:val="both"/>
        <w:rPr>
          <w:sz w:val="32"/>
        </w:rPr>
      </w:pPr>
      <w:r>
        <w:rPr>
          <w:spacing w:val="-6"/>
          <w:sz w:val="32"/>
        </w:rPr>
        <w:t>卫生健康支出（210）卫生健康管理事务（01）一般行政管理事务</w:t>
      </w:r>
      <w:r>
        <w:rPr>
          <w:spacing w:val="26"/>
          <w:sz w:val="32"/>
        </w:rPr>
        <w:t>（</w:t>
      </w:r>
      <w:r>
        <w:rPr>
          <w:spacing w:val="25"/>
          <w:sz w:val="32"/>
        </w:rPr>
        <w:t>02</w:t>
      </w:r>
      <w:r>
        <w:rPr>
          <w:spacing w:val="-135"/>
          <w:sz w:val="32"/>
        </w:rPr>
        <w:t>）</w:t>
      </w:r>
      <w:r>
        <w:rPr>
          <w:spacing w:val="-6"/>
          <w:sz w:val="32"/>
        </w:rPr>
        <w:t>：反映行政单位未单独设置项级科目的其他项目</w:t>
      </w:r>
      <w:r>
        <w:rPr>
          <w:spacing w:val="-4"/>
          <w:sz w:val="32"/>
        </w:rPr>
        <w:t>支出。</w:t>
      </w:r>
    </w:p>
    <w:p>
      <w:pPr>
        <w:pStyle w:val="9"/>
        <w:numPr>
          <w:ilvl w:val="0"/>
          <w:numId w:val="7"/>
        </w:numPr>
        <w:tabs>
          <w:tab w:val="left" w:pos="1232"/>
        </w:tabs>
        <w:spacing w:before="151" w:after="0" w:line="360" w:lineRule="auto"/>
        <w:ind w:left="114" w:right="254" w:firstLine="640"/>
        <w:jc w:val="both"/>
        <w:rPr>
          <w:sz w:val="32"/>
        </w:rPr>
      </w:pPr>
      <w:r>
        <w:rPr>
          <w:spacing w:val="-6"/>
          <w:sz w:val="32"/>
        </w:rPr>
        <w:t>卫生健康支出（210）卫生健康管理事务（01）其他卫生健康管理事务支出</w:t>
      </w:r>
      <w:r>
        <w:rPr>
          <w:spacing w:val="26"/>
          <w:sz w:val="32"/>
        </w:rPr>
        <w:t>（</w:t>
      </w:r>
      <w:r>
        <w:rPr>
          <w:spacing w:val="25"/>
          <w:sz w:val="32"/>
        </w:rPr>
        <w:t>99</w:t>
      </w:r>
      <w:r>
        <w:rPr>
          <w:spacing w:val="-135"/>
          <w:sz w:val="32"/>
        </w:rPr>
        <w:t>）</w:t>
      </w:r>
      <w:r>
        <w:rPr>
          <w:spacing w:val="-6"/>
          <w:sz w:val="32"/>
        </w:rPr>
        <w:t>：反映其他用于卫生健康管理事务的项</w:t>
      </w:r>
      <w:r>
        <w:rPr>
          <w:spacing w:val="-4"/>
          <w:sz w:val="32"/>
        </w:rPr>
        <w:t>目支出。</w:t>
      </w:r>
    </w:p>
    <w:p>
      <w:pPr>
        <w:pStyle w:val="9"/>
        <w:numPr>
          <w:ilvl w:val="0"/>
          <w:numId w:val="7"/>
        </w:numPr>
        <w:tabs>
          <w:tab w:val="left" w:pos="1233"/>
        </w:tabs>
        <w:spacing w:before="149" w:after="0" w:line="240" w:lineRule="auto"/>
        <w:ind w:left="1233" w:right="0" w:hanging="478"/>
        <w:jc w:val="left"/>
        <w:rPr>
          <w:sz w:val="32"/>
        </w:rPr>
      </w:pPr>
      <w:r>
        <w:rPr>
          <w:spacing w:val="-8"/>
          <w:sz w:val="32"/>
        </w:rPr>
        <w:t>卫生健康支出（210）公共卫生（04）</w:t>
      </w:r>
      <w:r>
        <w:rPr>
          <w:spacing w:val="-9"/>
          <w:sz w:val="32"/>
        </w:rPr>
        <w:t>基本公共卫生服务</w:t>
      </w:r>
    </w:p>
    <w:p>
      <w:pPr>
        <w:pStyle w:val="4"/>
        <w:spacing w:before="208"/>
      </w:pPr>
      <w:r>
        <w:rPr>
          <w:spacing w:val="19"/>
        </w:rPr>
        <w:t>（</w:t>
      </w:r>
      <w:r>
        <w:rPr>
          <w:spacing w:val="20"/>
        </w:rPr>
        <w:t>08</w:t>
      </w:r>
      <w:r>
        <w:rPr>
          <w:spacing w:val="-142"/>
        </w:rPr>
        <w:t>）</w:t>
      </w:r>
      <w:r>
        <w:rPr>
          <w:spacing w:val="-12"/>
        </w:rPr>
        <w:t>：反映基本公共卫生服务支出。</w:t>
      </w:r>
    </w:p>
    <w:p>
      <w:pPr>
        <w:pStyle w:val="9"/>
        <w:numPr>
          <w:ilvl w:val="0"/>
          <w:numId w:val="7"/>
        </w:numPr>
        <w:tabs>
          <w:tab w:val="left" w:pos="1232"/>
        </w:tabs>
        <w:spacing w:before="359" w:after="0" w:line="360" w:lineRule="auto"/>
        <w:ind w:left="114" w:right="256" w:firstLine="640"/>
        <w:jc w:val="left"/>
        <w:rPr>
          <w:sz w:val="32"/>
        </w:rPr>
      </w:pPr>
      <w:r>
        <w:rPr>
          <w:spacing w:val="-6"/>
          <w:sz w:val="32"/>
        </w:rPr>
        <w:t>卫生健康支出（210）公共卫生（04）突发公共卫生事件</w:t>
      </w:r>
      <w:r>
        <w:rPr>
          <w:spacing w:val="-2"/>
          <w:sz w:val="32"/>
        </w:rPr>
        <w:t>应急处理</w:t>
      </w:r>
      <w:r>
        <w:rPr>
          <w:spacing w:val="31"/>
          <w:sz w:val="32"/>
        </w:rPr>
        <w:t>（</w:t>
      </w:r>
      <w:r>
        <w:rPr>
          <w:spacing w:val="30"/>
          <w:sz w:val="32"/>
        </w:rPr>
        <w:t>1</w:t>
      </w:r>
      <w:r>
        <w:rPr>
          <w:spacing w:val="27"/>
          <w:sz w:val="32"/>
        </w:rPr>
        <w:t>0</w:t>
      </w:r>
      <w:r>
        <w:rPr>
          <w:spacing w:val="-130"/>
          <w:sz w:val="32"/>
        </w:rPr>
        <w:t>）</w:t>
      </w:r>
      <w:r>
        <w:rPr>
          <w:spacing w:val="-2"/>
          <w:sz w:val="32"/>
        </w:rPr>
        <w:t>：用于防疫相关支出。</w:t>
      </w:r>
    </w:p>
    <w:p>
      <w:pPr>
        <w:pStyle w:val="9"/>
        <w:numPr>
          <w:ilvl w:val="0"/>
          <w:numId w:val="7"/>
        </w:numPr>
        <w:tabs>
          <w:tab w:val="left" w:pos="1233"/>
        </w:tabs>
        <w:spacing w:before="149" w:after="0" w:line="240" w:lineRule="auto"/>
        <w:ind w:left="1233" w:right="0" w:hanging="478"/>
        <w:jc w:val="left"/>
        <w:rPr>
          <w:sz w:val="32"/>
        </w:rPr>
      </w:pPr>
      <w:r>
        <w:rPr>
          <w:spacing w:val="-8"/>
          <w:sz w:val="32"/>
        </w:rPr>
        <w:t>卫生健康支出（210）公共卫生（04）</w:t>
      </w:r>
      <w:r>
        <w:rPr>
          <w:spacing w:val="-9"/>
          <w:sz w:val="32"/>
        </w:rPr>
        <w:t>其他公共卫生支出</w:t>
      </w:r>
    </w:p>
    <w:p>
      <w:pPr>
        <w:pStyle w:val="4"/>
        <w:spacing w:before="208"/>
      </w:pPr>
      <w:r>
        <w:rPr>
          <w:spacing w:val="19"/>
        </w:rPr>
        <w:t>（</w:t>
      </w:r>
      <w:r>
        <w:rPr>
          <w:spacing w:val="20"/>
        </w:rPr>
        <w:t>99</w:t>
      </w:r>
      <w:r>
        <w:rPr>
          <w:spacing w:val="-142"/>
        </w:rPr>
        <w:t>）</w:t>
      </w:r>
      <w:r>
        <w:rPr>
          <w:spacing w:val="-12"/>
        </w:rPr>
        <w:t>：用于其他公共卫生方面的支出。</w:t>
      </w:r>
    </w:p>
    <w:p>
      <w:pPr>
        <w:pStyle w:val="9"/>
        <w:numPr>
          <w:ilvl w:val="0"/>
          <w:numId w:val="7"/>
        </w:numPr>
        <w:tabs>
          <w:tab w:val="left" w:pos="1232"/>
        </w:tabs>
        <w:spacing w:before="359" w:after="0" w:line="360" w:lineRule="auto"/>
        <w:ind w:left="114" w:right="95" w:firstLine="640"/>
        <w:jc w:val="left"/>
        <w:rPr>
          <w:sz w:val="32"/>
        </w:rPr>
      </w:pPr>
      <w:r>
        <w:rPr>
          <w:spacing w:val="-27"/>
          <w:sz w:val="32"/>
        </w:rPr>
        <w:t>卫生健康支出</w:t>
      </w:r>
      <w:r>
        <w:rPr>
          <w:spacing w:val="-14"/>
          <w:sz w:val="32"/>
        </w:rPr>
        <w:t>（210）</w:t>
      </w:r>
      <w:r>
        <w:rPr>
          <w:spacing w:val="-39"/>
          <w:sz w:val="32"/>
        </w:rPr>
        <w:t>中医药</w:t>
      </w:r>
      <w:r>
        <w:rPr>
          <w:spacing w:val="-14"/>
          <w:sz w:val="32"/>
        </w:rPr>
        <w:t>（06）</w:t>
      </w:r>
      <w:r>
        <w:rPr>
          <w:spacing w:val="-25"/>
          <w:sz w:val="32"/>
        </w:rPr>
        <w:t>其他中医药支出</w:t>
      </w:r>
      <w:r>
        <w:rPr>
          <w:spacing w:val="18"/>
          <w:sz w:val="32"/>
        </w:rPr>
        <w:t>（</w:t>
      </w:r>
      <w:r>
        <w:rPr>
          <w:spacing w:val="19"/>
          <w:sz w:val="32"/>
        </w:rPr>
        <w:t>9</w:t>
      </w:r>
      <w:r>
        <w:rPr>
          <w:spacing w:val="16"/>
          <w:sz w:val="32"/>
        </w:rPr>
        <w:t>9</w:t>
      </w:r>
      <w:r>
        <w:rPr>
          <w:spacing w:val="-141"/>
          <w:sz w:val="32"/>
        </w:rPr>
        <w:t>）</w:t>
      </w:r>
      <w:r>
        <w:rPr>
          <w:spacing w:val="18"/>
          <w:sz w:val="32"/>
        </w:rPr>
        <w:t>：</w:t>
      </w:r>
      <w:r>
        <w:rPr>
          <w:spacing w:val="-2"/>
          <w:sz w:val="32"/>
        </w:rPr>
        <w:t>用于其他中医药项目支出。</w:t>
      </w:r>
    </w:p>
    <w:p>
      <w:pPr>
        <w:pStyle w:val="9"/>
        <w:numPr>
          <w:ilvl w:val="0"/>
          <w:numId w:val="7"/>
        </w:numPr>
        <w:tabs>
          <w:tab w:val="left" w:pos="1233"/>
        </w:tabs>
        <w:spacing w:before="149" w:after="0" w:line="240" w:lineRule="auto"/>
        <w:ind w:left="1233" w:right="0" w:hanging="478"/>
        <w:jc w:val="left"/>
        <w:rPr>
          <w:sz w:val="32"/>
        </w:rPr>
      </w:pPr>
      <w:r>
        <w:rPr>
          <w:spacing w:val="-8"/>
          <w:sz w:val="32"/>
        </w:rPr>
        <w:t>卫生健康支出（210）计划生育事务（07）</w:t>
      </w:r>
      <w:r>
        <w:rPr>
          <w:spacing w:val="-9"/>
          <w:sz w:val="32"/>
        </w:rPr>
        <w:t>计划生育服务</w:t>
      </w:r>
    </w:p>
    <w:p>
      <w:pPr>
        <w:pStyle w:val="4"/>
        <w:spacing w:before="208"/>
      </w:pPr>
      <w:r>
        <w:rPr>
          <w:spacing w:val="17"/>
        </w:rPr>
        <w:t>（</w:t>
      </w:r>
      <w:r>
        <w:rPr>
          <w:spacing w:val="18"/>
        </w:rPr>
        <w:t>17</w:t>
      </w:r>
      <w:r>
        <w:rPr>
          <w:spacing w:val="-144"/>
        </w:rPr>
        <w:t>）</w:t>
      </w:r>
      <w:r>
        <w:rPr>
          <w:spacing w:val="-14"/>
        </w:rPr>
        <w:t>：反映计划生育相关支出。</w:t>
      </w:r>
    </w:p>
    <w:p>
      <w:pPr>
        <w:pStyle w:val="4"/>
        <w:spacing w:after="0"/>
        <w:sectPr>
          <w:pgSz w:w="11910" w:h="16840"/>
          <w:pgMar w:top="1580" w:right="1275" w:bottom="900" w:left="1417" w:header="0" w:footer="700" w:gutter="0"/>
          <w:cols w:space="720" w:num="1"/>
        </w:sectPr>
      </w:pPr>
    </w:p>
    <w:p>
      <w:pPr>
        <w:pStyle w:val="9"/>
        <w:numPr>
          <w:ilvl w:val="0"/>
          <w:numId w:val="7"/>
        </w:numPr>
        <w:tabs>
          <w:tab w:val="left" w:pos="1232"/>
        </w:tabs>
        <w:spacing w:before="35" w:after="0" w:line="360" w:lineRule="auto"/>
        <w:ind w:left="114" w:right="254" w:firstLine="640"/>
        <w:jc w:val="both"/>
        <w:rPr>
          <w:sz w:val="32"/>
        </w:rPr>
      </w:pPr>
      <w:r>
        <w:rPr>
          <w:spacing w:val="-6"/>
          <w:sz w:val="32"/>
        </w:rPr>
        <w:t>卫生健康支出（210）计划生育事务（07）其他计划生育事务支出</w:t>
      </w:r>
      <w:r>
        <w:rPr>
          <w:spacing w:val="26"/>
          <w:sz w:val="32"/>
        </w:rPr>
        <w:t>（</w:t>
      </w:r>
      <w:r>
        <w:rPr>
          <w:spacing w:val="25"/>
          <w:sz w:val="32"/>
        </w:rPr>
        <w:t>99</w:t>
      </w:r>
      <w:r>
        <w:rPr>
          <w:spacing w:val="-135"/>
          <w:sz w:val="32"/>
        </w:rPr>
        <w:t>）</w:t>
      </w:r>
      <w:r>
        <w:rPr>
          <w:spacing w:val="-6"/>
          <w:sz w:val="32"/>
        </w:rPr>
        <w:t>：反映除上述项目以外其他用于计划生育管理事</w:t>
      </w:r>
      <w:r>
        <w:rPr>
          <w:spacing w:val="-2"/>
          <w:sz w:val="32"/>
        </w:rPr>
        <w:t>务方面的支出。</w:t>
      </w:r>
    </w:p>
    <w:p>
      <w:pPr>
        <w:pStyle w:val="9"/>
        <w:numPr>
          <w:ilvl w:val="0"/>
          <w:numId w:val="7"/>
        </w:numPr>
        <w:tabs>
          <w:tab w:val="left" w:pos="1232"/>
        </w:tabs>
        <w:spacing w:before="149" w:after="0" w:line="360" w:lineRule="auto"/>
        <w:ind w:left="114" w:right="254" w:firstLine="640"/>
        <w:jc w:val="both"/>
        <w:rPr>
          <w:sz w:val="32"/>
        </w:rPr>
      </w:pPr>
      <w:r>
        <w:rPr>
          <w:spacing w:val="-6"/>
          <w:sz w:val="32"/>
        </w:rPr>
        <w:t>卫生健康支出（210）行政事业单位医疗（11）行政单位医疗</w:t>
      </w:r>
      <w:r>
        <w:rPr>
          <w:spacing w:val="26"/>
          <w:sz w:val="32"/>
        </w:rPr>
        <w:t>（</w:t>
      </w:r>
      <w:r>
        <w:rPr>
          <w:spacing w:val="25"/>
          <w:sz w:val="32"/>
        </w:rPr>
        <w:t>01</w:t>
      </w:r>
      <w:r>
        <w:rPr>
          <w:spacing w:val="-135"/>
          <w:sz w:val="32"/>
        </w:rPr>
        <w:t>）</w:t>
      </w:r>
      <w:r>
        <w:rPr>
          <w:spacing w:val="-6"/>
          <w:sz w:val="32"/>
        </w:rPr>
        <w:t>：反映财政部门安排的行政单位（包括实行公务员管理的事业单位，下同）基本医疗保险缴费经费。未参加医疗保险</w:t>
      </w:r>
      <w:r>
        <w:rPr>
          <w:spacing w:val="-9"/>
          <w:sz w:val="32"/>
        </w:rPr>
        <w:t>的行政单位的公费医疗经费，按国家规定享受离退休人员、红军</w:t>
      </w:r>
      <w:r>
        <w:rPr>
          <w:spacing w:val="-2"/>
          <w:sz w:val="32"/>
        </w:rPr>
        <w:t>老战士待遇人员的医疗经费。</w:t>
      </w:r>
    </w:p>
    <w:p>
      <w:pPr>
        <w:pStyle w:val="9"/>
        <w:numPr>
          <w:ilvl w:val="0"/>
          <w:numId w:val="7"/>
        </w:numPr>
        <w:tabs>
          <w:tab w:val="left" w:pos="1232"/>
        </w:tabs>
        <w:spacing w:before="151" w:after="0" w:line="360" w:lineRule="auto"/>
        <w:ind w:left="114" w:right="254" w:firstLine="640"/>
        <w:jc w:val="both"/>
        <w:rPr>
          <w:sz w:val="32"/>
        </w:rPr>
      </w:pPr>
      <w:r>
        <w:rPr>
          <w:spacing w:val="-6"/>
          <w:sz w:val="32"/>
        </w:rPr>
        <w:t>卫生健康支出（210）行政事业单位医疗（11）事业单位医疗</w:t>
      </w:r>
      <w:r>
        <w:rPr>
          <w:spacing w:val="26"/>
          <w:sz w:val="32"/>
        </w:rPr>
        <w:t>（</w:t>
      </w:r>
      <w:r>
        <w:rPr>
          <w:spacing w:val="25"/>
          <w:sz w:val="32"/>
        </w:rPr>
        <w:t>02</w:t>
      </w:r>
      <w:r>
        <w:rPr>
          <w:spacing w:val="-135"/>
          <w:sz w:val="32"/>
        </w:rPr>
        <w:t>）</w:t>
      </w:r>
      <w:r>
        <w:rPr>
          <w:spacing w:val="-6"/>
          <w:sz w:val="32"/>
        </w:rPr>
        <w:t>：反映财政部门安排的事业单位基本医疗保险缴费经</w:t>
      </w:r>
      <w:r>
        <w:rPr>
          <w:spacing w:val="-13"/>
          <w:sz w:val="32"/>
        </w:rPr>
        <w:t>费，未参加医疗保险的事业单位的公费医疗经费，按国家规定享</w:t>
      </w:r>
      <w:r>
        <w:rPr>
          <w:spacing w:val="-2"/>
          <w:sz w:val="32"/>
        </w:rPr>
        <w:t>受离休人员待遇的医疗经费。</w:t>
      </w:r>
    </w:p>
    <w:p>
      <w:pPr>
        <w:pStyle w:val="9"/>
        <w:numPr>
          <w:ilvl w:val="0"/>
          <w:numId w:val="7"/>
        </w:numPr>
        <w:tabs>
          <w:tab w:val="left" w:pos="1232"/>
        </w:tabs>
        <w:spacing w:before="149" w:after="0" w:line="360" w:lineRule="auto"/>
        <w:ind w:left="114" w:right="254" w:firstLine="640"/>
        <w:jc w:val="left"/>
        <w:rPr>
          <w:sz w:val="32"/>
        </w:rPr>
      </w:pPr>
      <w:r>
        <w:rPr>
          <w:spacing w:val="-6"/>
          <w:sz w:val="32"/>
        </w:rPr>
        <w:t>卫生健康支出（210）其他卫生健康支出（99）其他卫生</w:t>
      </w:r>
      <w:r>
        <w:rPr>
          <w:spacing w:val="-2"/>
          <w:sz w:val="32"/>
        </w:rPr>
        <w:t>健康支出</w:t>
      </w:r>
      <w:r>
        <w:rPr>
          <w:spacing w:val="31"/>
          <w:sz w:val="32"/>
        </w:rPr>
        <w:t>（</w:t>
      </w:r>
      <w:r>
        <w:rPr>
          <w:spacing w:val="30"/>
          <w:sz w:val="32"/>
        </w:rPr>
        <w:t>0</w:t>
      </w:r>
      <w:r>
        <w:rPr>
          <w:spacing w:val="27"/>
          <w:sz w:val="32"/>
        </w:rPr>
        <w:t>1</w:t>
      </w:r>
      <w:r>
        <w:rPr>
          <w:spacing w:val="-130"/>
          <w:sz w:val="32"/>
        </w:rPr>
        <w:t>）</w:t>
      </w:r>
      <w:r>
        <w:rPr>
          <w:spacing w:val="-2"/>
          <w:sz w:val="32"/>
        </w:rPr>
        <w:t>：反映其他用于卫生健康方面的支出。</w:t>
      </w:r>
    </w:p>
    <w:p>
      <w:pPr>
        <w:pStyle w:val="9"/>
        <w:numPr>
          <w:ilvl w:val="0"/>
          <w:numId w:val="7"/>
        </w:numPr>
        <w:tabs>
          <w:tab w:val="left" w:pos="1232"/>
        </w:tabs>
        <w:spacing w:before="151" w:after="0" w:line="360" w:lineRule="auto"/>
        <w:ind w:left="114" w:right="254" w:firstLine="640"/>
        <w:jc w:val="both"/>
        <w:rPr>
          <w:sz w:val="32"/>
        </w:rPr>
      </w:pPr>
      <w:r>
        <w:rPr>
          <w:spacing w:val="-9"/>
          <w:sz w:val="32"/>
        </w:rPr>
        <w:t>资源勘探工业信息等支出</w:t>
      </w:r>
      <w:r>
        <w:rPr>
          <w:spacing w:val="-4"/>
          <w:sz w:val="32"/>
        </w:rPr>
        <w:t>（215）支持中小企业发展和管理支出（08）其他支持中小企业发展和管理支出</w:t>
      </w:r>
      <w:r>
        <w:rPr>
          <w:spacing w:val="28"/>
          <w:sz w:val="32"/>
        </w:rPr>
        <w:t>（</w:t>
      </w:r>
      <w:r>
        <w:rPr>
          <w:spacing w:val="27"/>
          <w:sz w:val="32"/>
        </w:rPr>
        <w:t>99</w:t>
      </w:r>
      <w:r>
        <w:rPr>
          <w:spacing w:val="-133"/>
          <w:sz w:val="32"/>
        </w:rPr>
        <w:t>）</w:t>
      </w:r>
      <w:r>
        <w:rPr>
          <w:spacing w:val="3"/>
          <w:sz w:val="32"/>
        </w:rPr>
        <w:t>：反映除</w:t>
      </w:r>
      <w:r>
        <w:rPr>
          <w:spacing w:val="-2"/>
          <w:sz w:val="32"/>
        </w:rPr>
        <w:t>上述意外其他用于支出忠孝企业发展的管理方面的支出。</w:t>
      </w:r>
    </w:p>
    <w:p>
      <w:pPr>
        <w:pStyle w:val="9"/>
        <w:numPr>
          <w:ilvl w:val="0"/>
          <w:numId w:val="7"/>
        </w:numPr>
        <w:tabs>
          <w:tab w:val="left" w:pos="1232"/>
        </w:tabs>
        <w:spacing w:before="149" w:after="0" w:line="360" w:lineRule="auto"/>
        <w:ind w:left="114" w:right="95" w:firstLine="640"/>
        <w:jc w:val="left"/>
        <w:rPr>
          <w:sz w:val="32"/>
        </w:rPr>
      </w:pPr>
      <w:r>
        <w:rPr>
          <w:spacing w:val="-41"/>
          <w:sz w:val="32"/>
        </w:rPr>
        <w:t>住房保障支出</w:t>
      </w:r>
      <w:r>
        <w:rPr>
          <w:spacing w:val="12"/>
          <w:sz w:val="32"/>
        </w:rPr>
        <w:t>（</w:t>
      </w:r>
      <w:r>
        <w:rPr>
          <w:spacing w:val="13"/>
          <w:sz w:val="32"/>
        </w:rPr>
        <w:t>2</w:t>
      </w:r>
      <w:r>
        <w:rPr>
          <w:spacing w:val="10"/>
          <w:sz w:val="32"/>
        </w:rPr>
        <w:t>2</w:t>
      </w:r>
      <w:r>
        <w:rPr>
          <w:spacing w:val="13"/>
          <w:sz w:val="32"/>
        </w:rPr>
        <w:t>1</w:t>
      </w:r>
      <w:r>
        <w:rPr>
          <w:spacing w:val="-139"/>
          <w:sz w:val="32"/>
        </w:rPr>
        <w:t>）</w:t>
      </w:r>
      <w:r>
        <w:rPr>
          <w:spacing w:val="-41"/>
          <w:sz w:val="32"/>
        </w:rPr>
        <w:t>住房改革支出</w:t>
      </w:r>
      <w:r>
        <w:rPr>
          <w:spacing w:val="20"/>
          <w:sz w:val="32"/>
        </w:rPr>
        <w:t>（</w:t>
      </w:r>
      <w:r>
        <w:rPr>
          <w:spacing w:val="21"/>
          <w:sz w:val="32"/>
        </w:rPr>
        <w:t>0</w:t>
      </w:r>
      <w:r>
        <w:rPr>
          <w:spacing w:val="18"/>
          <w:sz w:val="32"/>
        </w:rPr>
        <w:t>2</w:t>
      </w:r>
      <w:r>
        <w:rPr>
          <w:spacing w:val="-131"/>
          <w:sz w:val="32"/>
        </w:rPr>
        <w:t>）</w:t>
      </w:r>
      <w:r>
        <w:rPr>
          <w:spacing w:val="-44"/>
          <w:sz w:val="32"/>
        </w:rPr>
        <w:t>住房公积金</w:t>
      </w:r>
      <w:r>
        <w:rPr>
          <w:spacing w:val="14"/>
          <w:sz w:val="32"/>
        </w:rPr>
        <w:t>（</w:t>
      </w:r>
      <w:r>
        <w:rPr>
          <w:spacing w:val="15"/>
          <w:sz w:val="32"/>
        </w:rPr>
        <w:t>0</w:t>
      </w:r>
      <w:r>
        <w:rPr>
          <w:spacing w:val="12"/>
          <w:sz w:val="32"/>
        </w:rPr>
        <w:t>1</w:t>
      </w:r>
      <w:r>
        <w:rPr>
          <w:spacing w:val="-145"/>
          <w:sz w:val="32"/>
        </w:rPr>
        <w:t>）</w:t>
      </w:r>
      <w:r>
        <w:rPr>
          <w:spacing w:val="14"/>
          <w:sz w:val="32"/>
        </w:rPr>
        <w:t>：</w:t>
      </w:r>
      <w:r>
        <w:rPr>
          <w:spacing w:val="-8"/>
          <w:sz w:val="32"/>
        </w:rPr>
        <w:t>反映行政事业单位按人力资源和社会保障部、财政部规定的基本</w:t>
      </w:r>
      <w:r>
        <w:rPr>
          <w:spacing w:val="-2"/>
          <w:sz w:val="32"/>
        </w:rPr>
        <w:t>工资和津贴补贴以及规定比例为职工缴纳的住房公积金。</w:t>
      </w:r>
    </w:p>
    <w:p>
      <w:pPr>
        <w:pStyle w:val="9"/>
        <w:spacing w:after="0" w:line="360" w:lineRule="auto"/>
        <w:jc w:val="left"/>
        <w:rPr>
          <w:sz w:val="32"/>
        </w:rPr>
        <w:sectPr>
          <w:pgSz w:w="11910" w:h="16840"/>
          <w:pgMar w:top="1580" w:right="1275" w:bottom="900" w:left="1417" w:header="0" w:footer="700" w:gutter="0"/>
          <w:cols w:space="720" w:num="1"/>
        </w:sectPr>
      </w:pPr>
    </w:p>
    <w:p>
      <w:pPr>
        <w:pStyle w:val="9"/>
        <w:numPr>
          <w:ilvl w:val="0"/>
          <w:numId w:val="7"/>
        </w:numPr>
        <w:tabs>
          <w:tab w:val="left" w:pos="1232"/>
        </w:tabs>
        <w:spacing w:before="35" w:after="0" w:line="360" w:lineRule="auto"/>
        <w:ind w:left="114" w:right="255" w:firstLine="640"/>
        <w:jc w:val="left"/>
        <w:rPr>
          <w:sz w:val="32"/>
        </w:rPr>
      </w:pPr>
      <w:r>
        <w:rPr>
          <w:spacing w:val="-6"/>
          <w:sz w:val="32"/>
        </w:rPr>
        <w:t>灾害防治及应急管理支出（224）应急管理事务（01）其</w:t>
      </w:r>
      <w:r>
        <w:rPr>
          <w:spacing w:val="-2"/>
          <w:sz w:val="32"/>
        </w:rPr>
        <w:t>他应急管理支出</w:t>
      </w:r>
      <w:r>
        <w:rPr>
          <w:spacing w:val="31"/>
          <w:sz w:val="32"/>
        </w:rPr>
        <w:t>（</w:t>
      </w:r>
      <w:r>
        <w:rPr>
          <w:spacing w:val="30"/>
          <w:sz w:val="32"/>
        </w:rPr>
        <w:t>9</w:t>
      </w:r>
      <w:r>
        <w:rPr>
          <w:spacing w:val="27"/>
          <w:sz w:val="32"/>
        </w:rPr>
        <w:t>9</w:t>
      </w:r>
      <w:r>
        <w:rPr>
          <w:spacing w:val="-130"/>
          <w:sz w:val="32"/>
        </w:rPr>
        <w:t>）</w:t>
      </w:r>
      <w:r>
        <w:rPr>
          <w:spacing w:val="-2"/>
          <w:sz w:val="32"/>
        </w:rPr>
        <w:t>：其他应急管理方面的支出。</w:t>
      </w:r>
    </w:p>
    <w:p>
      <w:pPr>
        <w:pStyle w:val="9"/>
        <w:numPr>
          <w:ilvl w:val="0"/>
          <w:numId w:val="7"/>
        </w:numPr>
        <w:tabs>
          <w:tab w:val="left" w:pos="1232"/>
        </w:tabs>
        <w:spacing w:before="149" w:after="0" w:line="360" w:lineRule="auto"/>
        <w:ind w:left="114" w:right="255" w:firstLine="640"/>
        <w:jc w:val="left"/>
        <w:rPr>
          <w:sz w:val="32"/>
        </w:rPr>
      </w:pPr>
      <w:r>
        <w:rPr>
          <w:spacing w:val="-6"/>
          <w:sz w:val="32"/>
        </w:rPr>
        <w:t>抗疫特别国债安排的支出（234）抗疫相关支出（02）其</w:t>
      </w:r>
      <w:r>
        <w:rPr>
          <w:spacing w:val="-2"/>
          <w:sz w:val="32"/>
        </w:rPr>
        <w:t>他抗疫相关支出</w:t>
      </w:r>
      <w:r>
        <w:rPr>
          <w:spacing w:val="31"/>
          <w:sz w:val="32"/>
        </w:rPr>
        <w:t>（</w:t>
      </w:r>
      <w:r>
        <w:rPr>
          <w:spacing w:val="30"/>
          <w:sz w:val="32"/>
        </w:rPr>
        <w:t>9</w:t>
      </w:r>
      <w:r>
        <w:rPr>
          <w:spacing w:val="27"/>
          <w:sz w:val="32"/>
        </w:rPr>
        <w:t>9</w:t>
      </w:r>
      <w:r>
        <w:rPr>
          <w:spacing w:val="-130"/>
          <w:sz w:val="32"/>
        </w:rPr>
        <w:t>）</w:t>
      </w:r>
      <w:r>
        <w:rPr>
          <w:spacing w:val="-2"/>
          <w:sz w:val="32"/>
        </w:rPr>
        <w:t>：用于防控疫情相关支出。</w:t>
      </w:r>
    </w:p>
    <w:p>
      <w:pPr>
        <w:pStyle w:val="9"/>
        <w:numPr>
          <w:ilvl w:val="0"/>
          <w:numId w:val="7"/>
        </w:numPr>
        <w:tabs>
          <w:tab w:val="left" w:pos="1232"/>
        </w:tabs>
        <w:spacing w:before="151" w:after="0" w:line="360" w:lineRule="auto"/>
        <w:ind w:left="114" w:right="297" w:firstLine="640"/>
        <w:jc w:val="left"/>
        <w:rPr>
          <w:sz w:val="32"/>
        </w:rPr>
      </w:pPr>
      <w:r>
        <w:rPr>
          <w:spacing w:val="-2"/>
          <w:sz w:val="32"/>
        </w:rPr>
        <w:t>基本支出：指为保障机构正常运转、完成日常工作任务而发生的人员支出和公用支出。</w:t>
      </w:r>
    </w:p>
    <w:p>
      <w:pPr>
        <w:pStyle w:val="9"/>
        <w:numPr>
          <w:ilvl w:val="0"/>
          <w:numId w:val="7"/>
        </w:numPr>
        <w:tabs>
          <w:tab w:val="left" w:pos="1232"/>
        </w:tabs>
        <w:spacing w:before="149" w:after="0" w:line="360" w:lineRule="auto"/>
        <w:ind w:left="114" w:right="297" w:firstLine="640"/>
        <w:jc w:val="left"/>
        <w:rPr>
          <w:sz w:val="32"/>
        </w:rPr>
      </w:pPr>
      <w:r>
        <w:rPr>
          <w:spacing w:val="-2"/>
          <w:sz w:val="32"/>
        </w:rPr>
        <w:t>项目支出：指在基本支出之外为完成特定行政任务和事业发展目标所发生的支出。</w:t>
      </w:r>
    </w:p>
    <w:p>
      <w:pPr>
        <w:pStyle w:val="9"/>
        <w:numPr>
          <w:ilvl w:val="0"/>
          <w:numId w:val="7"/>
        </w:numPr>
        <w:tabs>
          <w:tab w:val="left" w:pos="1201"/>
        </w:tabs>
        <w:spacing w:before="151" w:after="0" w:line="360" w:lineRule="auto"/>
        <w:ind w:left="114" w:right="95" w:firstLine="640"/>
        <w:jc w:val="left"/>
        <w:rPr>
          <w:sz w:val="32"/>
        </w:rPr>
      </w:pPr>
      <w:r>
        <w:rPr>
          <w:spacing w:val="-4"/>
          <w:sz w:val="32"/>
        </w:rPr>
        <w:t>“三公”经费：指部门用财政拨款安排的因公出国（境）</w:t>
      </w:r>
      <w:r>
        <w:rPr>
          <w:spacing w:val="-19"/>
          <w:sz w:val="32"/>
        </w:rPr>
        <w:t>费、公务用车购置及运行费和公务接待费。其中，因公出国</w:t>
      </w:r>
      <w:r>
        <w:rPr>
          <w:spacing w:val="-2"/>
          <w:sz w:val="32"/>
        </w:rPr>
        <w:t>（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9"/>
        <w:numPr>
          <w:ilvl w:val="0"/>
          <w:numId w:val="7"/>
        </w:numPr>
        <w:tabs>
          <w:tab w:val="left" w:pos="1232"/>
        </w:tabs>
        <w:spacing w:before="149" w:after="0" w:line="360" w:lineRule="auto"/>
        <w:ind w:left="114" w:right="255" w:firstLine="640"/>
        <w:jc w:val="both"/>
        <w:rPr>
          <w:sz w:val="32"/>
        </w:rPr>
      </w:pPr>
      <w:r>
        <w:rPr>
          <w:spacing w:val="-2"/>
          <w:sz w:val="32"/>
        </w:rPr>
        <w:t>机关运行经费：为保障行政单位（含参照公务员法管理的事业单位</w:t>
      </w:r>
      <w:r>
        <w:rPr>
          <w:spacing w:val="-58"/>
          <w:sz w:val="32"/>
        </w:rPr>
        <w:t>）</w:t>
      </w:r>
      <w:r>
        <w:rPr>
          <w:spacing w:val="-6"/>
          <w:sz w:val="32"/>
        </w:rPr>
        <w:t>运行用于购买货物和服务的各项资金，包括办公及印刷费、邮电费、差旅费、会议费、福利费、日常维修费、专用材料及一般设备购置费、办公用房水电费、办公用房取暖费、办</w:t>
      </w:r>
      <w:r>
        <w:rPr>
          <w:spacing w:val="-2"/>
          <w:sz w:val="32"/>
        </w:rPr>
        <w:t>公用房物业管理费、公务用车运行维护费以及其他费用。</w:t>
      </w:r>
    </w:p>
    <w:p>
      <w:pPr>
        <w:pStyle w:val="9"/>
        <w:spacing w:after="0" w:line="360" w:lineRule="auto"/>
        <w:jc w:val="both"/>
        <w:rPr>
          <w:sz w:val="32"/>
        </w:rPr>
        <w:sectPr>
          <w:pgSz w:w="11910" w:h="16840"/>
          <w:pgMar w:top="1580" w:right="1275" w:bottom="900" w:left="1417" w:header="0" w:footer="700" w:gutter="0"/>
          <w:cols w:space="720" w:num="1"/>
        </w:sectPr>
      </w:pPr>
    </w:p>
    <w:p>
      <w:pPr>
        <w:pStyle w:val="2"/>
        <w:spacing w:before="12"/>
        <w:ind w:left="114" w:right="0"/>
        <w:jc w:val="left"/>
      </w:pPr>
      <w:r>
        <w:rPr>
          <w:spacing w:val="-5"/>
        </w:rPr>
        <w:t>第四部分 附件</w:t>
      </w:r>
    </w:p>
    <w:p>
      <w:pPr>
        <w:pStyle w:val="4"/>
        <w:ind w:left="0"/>
        <w:rPr>
          <w:rFonts w:ascii="黑体"/>
          <w:sz w:val="20"/>
        </w:rPr>
      </w:pPr>
    </w:p>
    <w:p>
      <w:pPr>
        <w:pStyle w:val="4"/>
        <w:spacing w:before="124"/>
        <w:ind w:left="0"/>
        <w:rPr>
          <w:rFonts w:ascii="黑体"/>
          <w:sz w:val="20"/>
        </w:rPr>
      </w:pPr>
    </w:p>
    <w:p>
      <w:pPr>
        <w:pStyle w:val="4"/>
        <w:spacing w:after="0"/>
        <w:rPr>
          <w:rFonts w:ascii="黑体"/>
          <w:sz w:val="20"/>
        </w:rPr>
        <w:sectPr>
          <w:pgSz w:w="11910" w:h="16840"/>
          <w:pgMar w:top="1500" w:right="1275" w:bottom="900" w:left="1417" w:header="0" w:footer="700" w:gutter="0"/>
          <w:cols w:space="720" w:num="1"/>
        </w:sectPr>
      </w:pPr>
    </w:p>
    <w:p>
      <w:pPr>
        <w:pStyle w:val="4"/>
        <w:spacing w:before="49"/>
        <w:rPr>
          <w:rFonts w:ascii="黑体" w:eastAsia="黑体"/>
        </w:rPr>
      </w:pPr>
      <w:bookmarkStart w:id="41" w:name="附件1"/>
      <w:bookmarkEnd w:id="41"/>
      <w:r>
        <w:rPr>
          <w:rFonts w:ascii="黑体" w:eastAsia="黑体"/>
          <w:spacing w:val="-29"/>
        </w:rPr>
        <w:t xml:space="preserve">附件 </w:t>
      </w:r>
      <w:r>
        <w:rPr>
          <w:rFonts w:ascii="黑体" w:eastAsia="黑体"/>
          <w:spacing w:val="-10"/>
        </w:rPr>
        <w:t>1</w:t>
      </w:r>
    </w:p>
    <w:p>
      <w:pPr>
        <w:pStyle w:val="2"/>
        <w:spacing w:before="519" w:line="252" w:lineRule="auto"/>
        <w:ind w:left="555" w:right="2037" w:hanging="442"/>
        <w:jc w:val="left"/>
        <w:rPr>
          <w:rFonts w:ascii="宋体" w:eastAsia="宋体"/>
        </w:rPr>
      </w:pPr>
      <w:r>
        <w:br w:type="column"/>
      </w:r>
      <w:r>
        <w:rPr>
          <w:rFonts w:ascii="宋体" w:eastAsia="宋体"/>
          <w:spacing w:val="-2"/>
        </w:rPr>
        <w:t>遂宁市</w:t>
      </w:r>
      <w:r>
        <w:rPr>
          <w:rFonts w:hint="eastAsia" w:ascii="宋体" w:eastAsia="宋体"/>
          <w:spacing w:val="-2"/>
          <w:lang w:eastAsia="zh-CN"/>
        </w:rPr>
        <w:t>卫生健康委员会</w:t>
      </w:r>
      <w:r>
        <w:rPr>
          <w:rFonts w:ascii="宋体" w:eastAsia="宋体"/>
          <w:spacing w:val="-2"/>
        </w:rPr>
        <w:t>部门整体支出绩效报告</w:t>
      </w:r>
    </w:p>
    <w:p>
      <w:pPr>
        <w:pStyle w:val="2"/>
        <w:spacing w:after="0" w:line="252" w:lineRule="auto"/>
        <w:jc w:val="left"/>
        <w:rPr>
          <w:rFonts w:ascii="宋体" w:eastAsia="宋体"/>
        </w:rPr>
        <w:sectPr>
          <w:type w:val="continuous"/>
          <w:pgSz w:w="11910" w:h="16840"/>
          <w:pgMar w:top="1920" w:right="1275" w:bottom="280" w:left="1417" w:header="0" w:footer="700" w:gutter="0"/>
          <w:cols w:equalWidth="0" w:num="2">
            <w:col w:w="1034" w:space="747"/>
            <w:col w:w="7437"/>
          </w:cols>
        </w:sectPr>
      </w:pPr>
    </w:p>
    <w:p>
      <w:pPr>
        <w:pStyle w:val="4"/>
        <w:spacing w:before="267"/>
        <w:ind w:left="0"/>
      </w:pPr>
    </w:p>
    <w:p>
      <w:pPr>
        <w:pStyle w:val="4"/>
        <w:ind w:left="755"/>
        <w:rPr>
          <w:rFonts w:ascii="黑体" w:eastAsia="黑体"/>
        </w:rPr>
      </w:pPr>
      <w:r>
        <w:rPr>
          <w:rFonts w:ascii="黑体" w:eastAsia="黑体"/>
          <w:spacing w:val="-4"/>
        </w:rPr>
        <w:t>一、部门（单位）</w:t>
      </w:r>
      <w:r>
        <w:rPr>
          <w:rFonts w:ascii="黑体" w:eastAsia="黑体"/>
          <w:spacing w:val="-6"/>
        </w:rPr>
        <w:t>基本情况</w:t>
      </w:r>
    </w:p>
    <w:p>
      <w:pPr>
        <w:pStyle w:val="3"/>
        <w:spacing w:before="162"/>
      </w:pPr>
      <w:r>
        <w:rPr>
          <w:spacing w:val="-2"/>
        </w:rPr>
        <w:t>（一）</w:t>
      </w:r>
      <w:r>
        <w:rPr>
          <w:spacing w:val="-4"/>
        </w:rPr>
        <w:t>机构组成。</w:t>
      </w:r>
    </w:p>
    <w:p>
      <w:pPr>
        <w:pStyle w:val="4"/>
        <w:spacing w:before="117"/>
        <w:ind w:left="755"/>
      </w:pPr>
      <w:r>
        <w:rPr>
          <w:spacing w:val="-8"/>
        </w:rPr>
        <w:t xml:space="preserve">遂宁市卫生健康委下属二级预算单位 </w:t>
      </w:r>
      <w:r>
        <w:rPr>
          <w:spacing w:val="-4"/>
        </w:rPr>
        <w:t>11</w:t>
      </w:r>
      <w:r>
        <w:rPr>
          <w:spacing w:val="-12"/>
        </w:rPr>
        <w:t xml:space="preserve"> 个，其中行政单位</w:t>
      </w:r>
    </w:p>
    <w:p>
      <w:pPr>
        <w:pStyle w:val="4"/>
        <w:spacing w:before="103" w:line="300" w:lineRule="auto"/>
        <w:ind w:right="138"/>
        <w:jc w:val="both"/>
      </w:pPr>
      <w:r>
        <w:rPr>
          <w:spacing w:val="-6"/>
        </w:rPr>
        <w:t>1</w:t>
      </w:r>
      <w:r>
        <w:rPr>
          <w:spacing w:val="-15"/>
        </w:rPr>
        <w:t xml:space="preserve"> 个，参公单位 </w:t>
      </w:r>
      <w:r>
        <w:rPr>
          <w:spacing w:val="-6"/>
        </w:rPr>
        <w:t>2</w:t>
      </w:r>
      <w:r>
        <w:rPr>
          <w:spacing w:val="-15"/>
        </w:rPr>
        <w:t xml:space="preserve"> 个，事业单位 </w:t>
      </w:r>
      <w:r>
        <w:rPr>
          <w:spacing w:val="-6"/>
        </w:rPr>
        <w:t>9</w:t>
      </w:r>
      <w:r>
        <w:rPr>
          <w:spacing w:val="-12"/>
        </w:rPr>
        <w:t xml:space="preserve"> 个。主要包括遂宁市卫生健康</w:t>
      </w:r>
      <w:r>
        <w:rPr>
          <w:spacing w:val="-13"/>
        </w:rPr>
        <w:t>委员会、遂宁市卫生健康综合行政执法支队、遂宁市计划生育协</w:t>
      </w:r>
      <w:r>
        <w:rPr>
          <w:spacing w:val="-2"/>
        </w:rPr>
        <w:t>会、遂宁市疾病预防控制中心、遂宁市中心血站、遂宁市紧急医疗救援中心、遂宁市第一人民医院、遂宁市中医院、遂宁市中心医院、遂宁市传染病医院、遂宁市妇幼保健计划生育服务中心。</w:t>
      </w:r>
    </w:p>
    <w:p>
      <w:pPr>
        <w:pStyle w:val="3"/>
        <w:spacing w:before="47"/>
      </w:pPr>
      <w:r>
        <w:rPr>
          <w:spacing w:val="-2"/>
        </w:rPr>
        <w:t>（二）</w:t>
      </w:r>
      <w:r>
        <w:rPr>
          <w:spacing w:val="-4"/>
        </w:rPr>
        <w:t>机构职能。</w:t>
      </w:r>
    </w:p>
    <w:p>
      <w:pPr>
        <w:pStyle w:val="9"/>
        <w:numPr>
          <w:ilvl w:val="0"/>
          <w:numId w:val="8"/>
        </w:numPr>
        <w:tabs>
          <w:tab w:val="left" w:pos="1072"/>
        </w:tabs>
        <w:spacing w:before="117" w:after="0" w:line="300" w:lineRule="auto"/>
        <w:ind w:left="114" w:right="255" w:firstLine="640"/>
        <w:jc w:val="both"/>
        <w:rPr>
          <w:sz w:val="32"/>
        </w:rPr>
      </w:pPr>
      <w:r>
        <w:rPr>
          <w:spacing w:val="-11"/>
          <w:sz w:val="32"/>
        </w:rPr>
        <w:t>组织拟订全市卫生健康政策。负责拟订全市卫生健康事业</w:t>
      </w:r>
      <w:r>
        <w:rPr>
          <w:spacing w:val="-13"/>
          <w:sz w:val="32"/>
        </w:rPr>
        <w:t>发展政策措施、规划并组织实施。统筹规划全市卫生健康资源配</w:t>
      </w:r>
      <w:r>
        <w:rPr>
          <w:spacing w:val="-12"/>
          <w:sz w:val="32"/>
        </w:rPr>
        <w:t>置。制定并组织实施推进卫生健康基本公共卫生服务均等化、普</w:t>
      </w:r>
      <w:r>
        <w:rPr>
          <w:spacing w:val="-2"/>
          <w:sz w:val="32"/>
        </w:rPr>
        <w:t>惠化、便捷化和公共资源向基层延伸等政策措施。</w:t>
      </w:r>
    </w:p>
    <w:p>
      <w:pPr>
        <w:pStyle w:val="9"/>
        <w:numPr>
          <w:ilvl w:val="0"/>
          <w:numId w:val="8"/>
        </w:numPr>
        <w:tabs>
          <w:tab w:val="left" w:pos="1072"/>
        </w:tabs>
        <w:spacing w:before="0" w:after="0" w:line="300" w:lineRule="auto"/>
        <w:ind w:left="114" w:right="254" w:firstLine="640"/>
        <w:jc w:val="both"/>
        <w:rPr>
          <w:sz w:val="32"/>
        </w:rPr>
      </w:pPr>
      <w:r>
        <w:rPr>
          <w:spacing w:val="-9"/>
          <w:sz w:val="32"/>
        </w:rPr>
        <w:t>牵头推进全市深化医药卫生</w:t>
      </w:r>
      <w:r>
        <w:rPr>
          <w:rFonts w:hint="eastAsia"/>
          <w:spacing w:val="-9"/>
          <w:sz w:val="32"/>
          <w:lang w:eastAsia="zh-CN"/>
        </w:rPr>
        <w:t>体制改革</w:t>
      </w:r>
      <w:r>
        <w:rPr>
          <w:spacing w:val="-9"/>
          <w:sz w:val="32"/>
        </w:rPr>
        <w:t>，研究提出深化改革</w:t>
      </w:r>
      <w:r>
        <w:rPr>
          <w:spacing w:val="-6"/>
          <w:sz w:val="32"/>
        </w:rPr>
        <w:t>政策措施建议。牵头负责全市分级诊疗、现代医院管理、综合监</w:t>
      </w:r>
      <w:r>
        <w:rPr>
          <w:spacing w:val="-11"/>
          <w:sz w:val="32"/>
        </w:rPr>
        <w:t>管等基本医疗卫生制度建设。制定并组织实施推动卫生健康公共</w:t>
      </w:r>
      <w:r>
        <w:rPr>
          <w:spacing w:val="-2"/>
          <w:sz w:val="32"/>
        </w:rPr>
        <w:t>服务提供主题多元化、方式多样化的政策措施。</w:t>
      </w:r>
    </w:p>
    <w:p>
      <w:pPr>
        <w:pStyle w:val="9"/>
        <w:numPr>
          <w:ilvl w:val="0"/>
          <w:numId w:val="8"/>
        </w:numPr>
        <w:tabs>
          <w:tab w:val="left" w:pos="1072"/>
        </w:tabs>
        <w:spacing w:before="0" w:after="0" w:line="300" w:lineRule="auto"/>
        <w:ind w:left="114" w:right="254" w:firstLine="640"/>
        <w:jc w:val="left"/>
        <w:rPr>
          <w:sz w:val="32"/>
        </w:rPr>
      </w:pPr>
      <w:r>
        <w:rPr>
          <w:spacing w:val="-9"/>
          <w:sz w:val="32"/>
        </w:rPr>
        <w:t>制定并组织落实全市疾病预防控制规划、免疫规划以及严重危害人民健康的艾滋病等重大传染病、寄生虫病、地方病等公</w:t>
      </w:r>
    </w:p>
    <w:p>
      <w:pPr>
        <w:pStyle w:val="9"/>
        <w:spacing w:after="0" w:line="300" w:lineRule="auto"/>
        <w:jc w:val="left"/>
        <w:rPr>
          <w:sz w:val="32"/>
        </w:rPr>
        <w:sectPr>
          <w:type w:val="continuous"/>
          <w:pgSz w:w="11910" w:h="16840"/>
          <w:pgMar w:top="1920" w:right="1275" w:bottom="280" w:left="1417" w:header="0" w:footer="700" w:gutter="0"/>
          <w:cols w:space="720" w:num="1"/>
        </w:sectPr>
      </w:pPr>
    </w:p>
    <w:p>
      <w:pPr>
        <w:pStyle w:val="4"/>
        <w:spacing w:before="23" w:line="300" w:lineRule="auto"/>
        <w:ind w:right="254"/>
        <w:jc w:val="both"/>
      </w:pPr>
      <w:r>
        <w:rPr>
          <w:spacing w:val="-11"/>
        </w:rPr>
        <w:t>共卫生问题的干预措施。负责全市卫生应急工作，组织指导全市</w:t>
      </w:r>
      <w:r>
        <w:rPr>
          <w:spacing w:val="-2"/>
        </w:rPr>
        <w:t>突发公共卫生事件预防控制和各类突发公共事件的医疗卫生救</w:t>
      </w:r>
      <w:r>
        <w:rPr>
          <w:spacing w:val="-13"/>
        </w:rPr>
        <w:t>援。按照权限发布传染病疫情信息、突发公共卫生事件应急处置信息。依照国家检疫传染病和监测传染病目录，参与开展检疫检</w:t>
      </w:r>
      <w:r>
        <w:rPr>
          <w:spacing w:val="-4"/>
        </w:rPr>
        <w:t>测工作。</w:t>
      </w:r>
    </w:p>
    <w:p>
      <w:pPr>
        <w:pStyle w:val="9"/>
        <w:numPr>
          <w:ilvl w:val="0"/>
          <w:numId w:val="8"/>
        </w:numPr>
        <w:tabs>
          <w:tab w:val="left" w:pos="1072"/>
        </w:tabs>
        <w:spacing w:before="2" w:after="0" w:line="300" w:lineRule="auto"/>
        <w:ind w:left="114" w:right="256" w:firstLine="640"/>
        <w:jc w:val="left"/>
        <w:rPr>
          <w:sz w:val="32"/>
        </w:rPr>
      </w:pPr>
      <w:r>
        <w:rPr>
          <w:spacing w:val="-9"/>
          <w:sz w:val="32"/>
        </w:rPr>
        <w:t>贯彻实施中医药发展规划和技术规范，负责中医医疗机构</w:t>
      </w:r>
      <w:r>
        <w:rPr>
          <w:spacing w:val="-2"/>
          <w:sz w:val="32"/>
        </w:rPr>
        <w:t>的监督管理，促进中医药资源的保护、开发和合理利用。</w:t>
      </w:r>
    </w:p>
    <w:p>
      <w:pPr>
        <w:pStyle w:val="9"/>
        <w:numPr>
          <w:ilvl w:val="0"/>
          <w:numId w:val="8"/>
        </w:numPr>
        <w:tabs>
          <w:tab w:val="left" w:pos="1072"/>
        </w:tabs>
        <w:spacing w:before="0" w:after="0" w:line="300" w:lineRule="auto"/>
        <w:ind w:left="114" w:right="155" w:firstLine="640"/>
        <w:jc w:val="right"/>
        <w:rPr>
          <w:sz w:val="32"/>
        </w:rPr>
      </w:pPr>
      <w:r>
        <w:rPr>
          <w:spacing w:val="-18"/>
          <w:sz w:val="32"/>
        </w:rPr>
        <w:t>贯彻落实国家应对人口老龄化政策措施。负责推进老年健康</w:t>
      </w:r>
      <w:r>
        <w:rPr>
          <w:spacing w:val="-12"/>
          <w:sz w:val="32"/>
        </w:rPr>
        <w:t xml:space="preserve">服务体系建设和医养结合工作。承担市老龄工作委员会日常工作。 </w:t>
      </w:r>
      <w:r>
        <w:rPr>
          <w:spacing w:val="-2"/>
          <w:sz w:val="32"/>
        </w:rPr>
        <w:t>6</w:t>
      </w:r>
      <w:r>
        <w:rPr>
          <w:spacing w:val="-8"/>
          <w:sz w:val="32"/>
        </w:rPr>
        <w:t>.贯彻落实国家药物政策和国家基本药物制度。开展药械使</w:t>
      </w:r>
    </w:p>
    <w:p>
      <w:pPr>
        <w:pStyle w:val="4"/>
        <w:spacing w:line="300" w:lineRule="auto"/>
        <w:ind w:right="254"/>
        <w:jc w:val="both"/>
      </w:pPr>
      <w:r>
        <w:rPr>
          <w:spacing w:val="-13"/>
        </w:rPr>
        <w:t>用检测、临床综合评价和短缺药品预警，组织执行国家药典和国</w:t>
      </w:r>
      <w:r>
        <w:rPr>
          <w:spacing w:val="-12"/>
        </w:rPr>
        <w:t>家基本药物目录，落实基本药物使用的政策措施。按照国家和省</w:t>
      </w:r>
      <w:r>
        <w:rPr>
          <w:spacing w:val="-7"/>
        </w:rPr>
        <w:t>相关要求会同有关部门制定和实施食品安全风险监测计划。依法</w:t>
      </w:r>
      <w:r>
        <w:rPr>
          <w:spacing w:val="-2"/>
        </w:rPr>
        <w:t>开展食品安全企业标准备案。</w:t>
      </w:r>
    </w:p>
    <w:p>
      <w:pPr>
        <w:pStyle w:val="9"/>
        <w:numPr>
          <w:ilvl w:val="0"/>
          <w:numId w:val="9"/>
        </w:numPr>
        <w:tabs>
          <w:tab w:val="left" w:pos="1072"/>
        </w:tabs>
        <w:spacing w:before="0" w:after="0" w:line="300" w:lineRule="auto"/>
        <w:ind w:left="114" w:right="256" w:firstLine="640"/>
        <w:jc w:val="both"/>
        <w:rPr>
          <w:sz w:val="32"/>
        </w:rPr>
      </w:pPr>
      <w:r>
        <w:rPr>
          <w:spacing w:val="-6"/>
          <w:sz w:val="32"/>
        </w:rPr>
        <w:t>负责职责范围内的职业卫生、放射卫生、环境卫生、学校卫生、公共场所卫生、饮用水卫生等公共卫生的监督管理。负责</w:t>
      </w:r>
      <w:r>
        <w:rPr>
          <w:spacing w:val="-2"/>
          <w:sz w:val="32"/>
        </w:rPr>
        <w:t>传染病防治监督，健全卫生健康综合监督体系。</w:t>
      </w:r>
    </w:p>
    <w:p>
      <w:pPr>
        <w:pStyle w:val="9"/>
        <w:numPr>
          <w:ilvl w:val="0"/>
          <w:numId w:val="9"/>
        </w:numPr>
        <w:tabs>
          <w:tab w:val="left" w:pos="1072"/>
        </w:tabs>
        <w:spacing w:before="0" w:after="0" w:line="300" w:lineRule="auto"/>
        <w:ind w:left="114" w:right="254" w:firstLine="640"/>
        <w:jc w:val="both"/>
        <w:rPr>
          <w:sz w:val="32"/>
        </w:rPr>
      </w:pPr>
      <w:r>
        <w:rPr>
          <w:spacing w:val="-9"/>
          <w:sz w:val="32"/>
        </w:rPr>
        <w:t>负责全市医疗机构的监督管理，制定医疗机构、医疗服务</w:t>
      </w:r>
      <w:r>
        <w:rPr>
          <w:spacing w:val="-12"/>
          <w:sz w:val="32"/>
        </w:rPr>
        <w:t>行业管理办法并组织实施。会同有关部门实施卫生健康专业技术人员资格标准。组织实施医疗服务规范、卫生健康专业技术人员</w:t>
      </w:r>
      <w:r>
        <w:rPr>
          <w:spacing w:val="-2"/>
          <w:sz w:val="32"/>
        </w:rPr>
        <w:t>执业规则和服务规范。</w:t>
      </w:r>
    </w:p>
    <w:p>
      <w:pPr>
        <w:pStyle w:val="9"/>
        <w:numPr>
          <w:ilvl w:val="0"/>
          <w:numId w:val="9"/>
        </w:numPr>
        <w:tabs>
          <w:tab w:val="left" w:pos="1072"/>
        </w:tabs>
        <w:spacing w:before="0" w:after="0" w:line="300" w:lineRule="auto"/>
        <w:ind w:left="114" w:right="243" w:firstLine="640"/>
        <w:jc w:val="left"/>
        <w:rPr>
          <w:sz w:val="32"/>
        </w:rPr>
      </w:pPr>
      <w:r>
        <w:rPr>
          <w:spacing w:val="-19"/>
          <w:sz w:val="32"/>
        </w:rPr>
        <w:t>负责全市计划生育管理和服务工作。开展人口监测预警，研</w:t>
      </w:r>
      <w:r>
        <w:rPr>
          <w:spacing w:val="-6"/>
          <w:sz w:val="32"/>
        </w:rPr>
        <w:t>究提出人口与家庭发展相关政策建议，贯彻落实计划生育政策。</w:t>
      </w:r>
    </w:p>
    <w:p>
      <w:pPr>
        <w:pStyle w:val="9"/>
        <w:numPr>
          <w:ilvl w:val="0"/>
          <w:numId w:val="9"/>
        </w:numPr>
        <w:tabs>
          <w:tab w:val="left" w:pos="1232"/>
        </w:tabs>
        <w:spacing w:before="0" w:after="0" w:line="300" w:lineRule="auto"/>
        <w:ind w:left="114" w:right="242" w:firstLine="640"/>
        <w:jc w:val="left"/>
        <w:rPr>
          <w:sz w:val="32"/>
        </w:rPr>
      </w:pPr>
      <w:r>
        <w:rPr>
          <w:spacing w:val="-12"/>
          <w:sz w:val="32"/>
        </w:rPr>
        <w:t>指导县（区）卫生健康工作。指导基层医疗卫生、妇幼健</w:t>
      </w:r>
      <w:r>
        <w:rPr>
          <w:spacing w:val="-6"/>
          <w:sz w:val="32"/>
        </w:rPr>
        <w:t>康服务体系和基层卫生队伍建设。推进卫生健康科技创新发展。</w:t>
      </w:r>
    </w:p>
    <w:p>
      <w:pPr>
        <w:pStyle w:val="9"/>
        <w:spacing w:after="0" w:line="300" w:lineRule="auto"/>
        <w:jc w:val="left"/>
        <w:rPr>
          <w:sz w:val="32"/>
        </w:rPr>
        <w:sectPr>
          <w:pgSz w:w="11910" w:h="16840"/>
          <w:pgMar w:top="1580" w:right="1275" w:bottom="900" w:left="1417" w:header="0" w:footer="700" w:gutter="0"/>
          <w:cols w:space="720" w:num="1"/>
        </w:sectPr>
      </w:pPr>
    </w:p>
    <w:p>
      <w:pPr>
        <w:pStyle w:val="9"/>
        <w:numPr>
          <w:ilvl w:val="0"/>
          <w:numId w:val="9"/>
        </w:numPr>
        <w:tabs>
          <w:tab w:val="left" w:pos="1232"/>
        </w:tabs>
        <w:spacing w:before="23" w:after="0" w:line="300" w:lineRule="auto"/>
        <w:ind w:left="114" w:right="256" w:firstLine="640"/>
        <w:jc w:val="both"/>
        <w:rPr>
          <w:sz w:val="32"/>
        </w:rPr>
      </w:pPr>
      <w:r>
        <w:rPr>
          <w:spacing w:val="-2"/>
          <w:sz w:val="32"/>
        </w:rPr>
        <w:t>负责市确定的保健对象的医疗保健工作。负责市直有关</w:t>
      </w:r>
      <w:r>
        <w:rPr>
          <w:spacing w:val="-6"/>
          <w:sz w:val="32"/>
        </w:rPr>
        <w:t>部门（单位）离休干部医疗管理工作。负责重要会议与重大活动</w:t>
      </w:r>
      <w:r>
        <w:rPr>
          <w:spacing w:val="-2"/>
          <w:sz w:val="32"/>
        </w:rPr>
        <w:t>的医疗卫生保障工作。</w:t>
      </w:r>
    </w:p>
    <w:p>
      <w:pPr>
        <w:pStyle w:val="9"/>
        <w:numPr>
          <w:ilvl w:val="0"/>
          <w:numId w:val="9"/>
        </w:numPr>
        <w:tabs>
          <w:tab w:val="left" w:pos="1233"/>
        </w:tabs>
        <w:spacing w:before="0" w:after="0" w:line="240" w:lineRule="auto"/>
        <w:ind w:left="1233" w:right="0" w:hanging="478"/>
        <w:jc w:val="left"/>
        <w:rPr>
          <w:sz w:val="32"/>
        </w:rPr>
      </w:pPr>
      <w:r>
        <w:rPr>
          <w:spacing w:val="-12"/>
          <w:sz w:val="32"/>
        </w:rPr>
        <w:t>指导市计划生育协会的业务工作，代管市计划生育协会。</w:t>
      </w:r>
    </w:p>
    <w:p>
      <w:pPr>
        <w:pStyle w:val="9"/>
        <w:numPr>
          <w:ilvl w:val="0"/>
          <w:numId w:val="9"/>
        </w:numPr>
        <w:tabs>
          <w:tab w:val="left" w:pos="1232"/>
        </w:tabs>
        <w:spacing w:before="105" w:after="0" w:line="300" w:lineRule="auto"/>
        <w:ind w:left="114" w:right="95" w:firstLine="640"/>
        <w:jc w:val="left"/>
        <w:rPr>
          <w:sz w:val="32"/>
        </w:rPr>
      </w:pPr>
      <w:r>
        <w:rPr>
          <w:spacing w:val="-9"/>
          <w:sz w:val="32"/>
        </w:rPr>
        <w:t>负责职责范围内的安全生产和职业健康、生态环境保护、</w:t>
      </w:r>
      <w:r>
        <w:rPr>
          <w:spacing w:val="-2"/>
          <w:sz w:val="32"/>
        </w:rPr>
        <w:t>审批服务便民化等工作。</w:t>
      </w:r>
    </w:p>
    <w:p>
      <w:pPr>
        <w:pStyle w:val="9"/>
        <w:numPr>
          <w:ilvl w:val="0"/>
          <w:numId w:val="9"/>
        </w:numPr>
        <w:tabs>
          <w:tab w:val="left" w:pos="1233"/>
        </w:tabs>
        <w:spacing w:before="0" w:after="0" w:line="415" w:lineRule="exact"/>
        <w:ind w:left="1233" w:right="0" w:hanging="478"/>
        <w:jc w:val="left"/>
        <w:rPr>
          <w:sz w:val="32"/>
        </w:rPr>
      </w:pPr>
      <w:r>
        <w:rPr>
          <w:spacing w:val="-5"/>
          <w:sz w:val="32"/>
        </w:rPr>
        <w:t>完成市委和市政府交办的其他任务。</w:t>
      </w:r>
    </w:p>
    <w:p>
      <w:pPr>
        <w:pStyle w:val="9"/>
        <w:numPr>
          <w:ilvl w:val="0"/>
          <w:numId w:val="9"/>
        </w:numPr>
        <w:tabs>
          <w:tab w:val="left" w:pos="1232"/>
        </w:tabs>
        <w:spacing w:before="121" w:after="0" w:line="312" w:lineRule="auto"/>
        <w:ind w:left="114" w:right="95" w:firstLine="640"/>
        <w:jc w:val="left"/>
        <w:rPr>
          <w:sz w:val="32"/>
        </w:rPr>
      </w:pPr>
      <w:r>
        <w:rPr>
          <w:spacing w:val="1"/>
          <w:w w:val="99"/>
          <w:sz w:val="32"/>
        </w:rPr>
        <w:t>职能转变。牢固树立大卫生、大健康理念，推动实施健</w:t>
      </w:r>
      <w:r>
        <w:rPr>
          <w:spacing w:val="-18"/>
          <w:w w:val="99"/>
          <w:sz w:val="32"/>
        </w:rPr>
        <w:t>康四川和健康遂宁战略，以改革创新为动力，以促健康、转模式、</w:t>
      </w:r>
      <w:r>
        <w:rPr>
          <w:spacing w:val="-11"/>
          <w:w w:val="99"/>
          <w:sz w:val="32"/>
        </w:rPr>
        <w:t>强基层、重保障为着力点，把以治病为中心转变到以人民健康为中心，为人民群众提供全方位全周期卫生健康服务。一是更加注</w:t>
      </w:r>
      <w:r>
        <w:rPr>
          <w:spacing w:val="-18"/>
          <w:w w:val="99"/>
          <w:sz w:val="32"/>
        </w:rPr>
        <w:t>重预防为主和健康促进，提高健康意识，加强爱国卫生运动工作，</w:t>
      </w:r>
      <w:r>
        <w:rPr>
          <w:spacing w:val="-12"/>
          <w:w w:val="99"/>
          <w:sz w:val="32"/>
        </w:rPr>
        <w:t>加强预防控制重大疾病工作，积极应对人口老龄化，健全卫生健</w:t>
      </w:r>
      <w:r>
        <w:rPr>
          <w:spacing w:val="-10"/>
          <w:w w:val="99"/>
          <w:sz w:val="32"/>
        </w:rPr>
        <w:t>康服务体系。二是更加注重卫生健康服务公平性和可及性，推动</w:t>
      </w:r>
      <w:r>
        <w:rPr>
          <w:spacing w:val="-2"/>
          <w:w w:val="99"/>
          <w:sz w:val="32"/>
        </w:rPr>
        <w:t>工作中心下移和资源下沉，推进卫生健康公共资源向基层延伸、</w:t>
      </w:r>
      <w:r>
        <w:rPr>
          <w:spacing w:val="-11"/>
          <w:w w:val="99"/>
          <w:sz w:val="32"/>
        </w:rPr>
        <w:t>向农村覆盖、向边远地区和生活困难群众倾斜。三是更加注重提</w:t>
      </w:r>
      <w:r>
        <w:rPr>
          <w:spacing w:val="6"/>
          <w:w w:val="99"/>
          <w:sz w:val="32"/>
        </w:rPr>
        <w:t>高服务质量和水平，推动建设高质量健康服务基地和中医药强</w:t>
      </w:r>
      <w:r>
        <w:rPr>
          <w:spacing w:val="-9"/>
          <w:w w:val="99"/>
          <w:sz w:val="32"/>
        </w:rPr>
        <w:t>市。四是更加注重深化医药卫生</w:t>
      </w:r>
      <w:r>
        <w:rPr>
          <w:rFonts w:hint="eastAsia"/>
          <w:spacing w:val="-9"/>
          <w:w w:val="99"/>
          <w:sz w:val="32"/>
          <w:lang w:eastAsia="zh-CN"/>
        </w:rPr>
        <w:t>体制改革</w:t>
      </w:r>
      <w:r>
        <w:rPr>
          <w:spacing w:val="-9"/>
          <w:w w:val="99"/>
          <w:sz w:val="32"/>
        </w:rPr>
        <w:t>的科学性和持续性，加</w:t>
      </w:r>
      <w:r>
        <w:rPr>
          <w:spacing w:val="-10"/>
          <w:w w:val="99"/>
          <w:sz w:val="32"/>
        </w:rPr>
        <w:t>快分级诊疗制度建设，加强医疗、医保、医药的联动改革，加大</w:t>
      </w:r>
      <w:r>
        <w:rPr>
          <w:spacing w:val="-2"/>
          <w:w w:val="99"/>
          <w:sz w:val="32"/>
        </w:rPr>
        <w:t>公立医院改革力度。</w:t>
      </w:r>
    </w:p>
    <w:p>
      <w:pPr>
        <w:pStyle w:val="9"/>
        <w:numPr>
          <w:ilvl w:val="0"/>
          <w:numId w:val="9"/>
        </w:numPr>
        <w:tabs>
          <w:tab w:val="left" w:pos="1233"/>
        </w:tabs>
        <w:spacing w:before="0" w:after="0" w:line="406" w:lineRule="exact"/>
        <w:ind w:left="1233" w:right="0" w:hanging="478"/>
        <w:jc w:val="left"/>
        <w:rPr>
          <w:sz w:val="32"/>
        </w:rPr>
      </w:pPr>
      <w:r>
        <w:rPr>
          <w:spacing w:val="-5"/>
          <w:sz w:val="32"/>
        </w:rPr>
        <w:t>有关职责分工</w:t>
      </w:r>
    </w:p>
    <w:p>
      <w:pPr>
        <w:pStyle w:val="9"/>
        <w:numPr>
          <w:ilvl w:val="0"/>
          <w:numId w:val="10"/>
        </w:numPr>
        <w:tabs>
          <w:tab w:val="left" w:pos="1556"/>
        </w:tabs>
        <w:spacing w:before="124" w:after="0" w:line="312" w:lineRule="auto"/>
        <w:ind w:left="114" w:right="254" w:firstLine="640"/>
        <w:jc w:val="both"/>
        <w:rPr>
          <w:sz w:val="32"/>
        </w:rPr>
      </w:pPr>
      <w:r>
        <w:rPr>
          <w:spacing w:val="-2"/>
          <w:sz w:val="32"/>
        </w:rPr>
        <w:t>与市发展和改革委员会的有关职责分工。市卫生健康</w:t>
      </w:r>
      <w:r>
        <w:rPr>
          <w:spacing w:val="-9"/>
          <w:sz w:val="32"/>
        </w:rPr>
        <w:t>委负责开展人口检测预警工作，实施生育政策，研究提出与生育</w:t>
      </w:r>
      <w:r>
        <w:rPr>
          <w:spacing w:val="-10"/>
          <w:sz w:val="32"/>
        </w:rPr>
        <w:t>相关的人口检测预警工作，实施生育政策，研究提出与生育相关</w:t>
      </w:r>
      <w:r>
        <w:rPr>
          <w:spacing w:val="-6"/>
          <w:sz w:val="32"/>
        </w:rPr>
        <w:t>的人口数量、素质、结构、分布方面的政策建议，促进生育政策</w:t>
      </w:r>
    </w:p>
    <w:p>
      <w:pPr>
        <w:pStyle w:val="9"/>
        <w:spacing w:after="0" w:line="312" w:lineRule="auto"/>
        <w:jc w:val="both"/>
        <w:rPr>
          <w:sz w:val="32"/>
        </w:rPr>
        <w:sectPr>
          <w:pgSz w:w="11910" w:h="16840"/>
          <w:pgMar w:top="1580" w:right="1275" w:bottom="900" w:left="1417" w:header="0" w:footer="700" w:gutter="0"/>
          <w:cols w:space="720" w:num="1"/>
        </w:sectPr>
      </w:pPr>
    </w:p>
    <w:p>
      <w:pPr>
        <w:pStyle w:val="4"/>
        <w:spacing w:before="20" w:line="312" w:lineRule="auto"/>
        <w:ind w:right="138"/>
      </w:pPr>
      <w:r>
        <w:rPr>
          <w:w w:val="99"/>
        </w:rPr>
        <w:t>和相关经济社会政策配套衔接，参与制定人口发展规划和政策，</w:t>
      </w:r>
      <w:r>
        <w:rPr>
          <w:spacing w:val="-7"/>
          <w:w w:val="99"/>
        </w:rPr>
        <w:t>落实全市人口发展规划中的有关任务。市发展和改革委员会负责</w:t>
      </w:r>
      <w:r>
        <w:rPr>
          <w:spacing w:val="6"/>
          <w:w w:val="99"/>
        </w:rPr>
        <w:t>组织检测和评估人口变动情况趋势影响，建立人口预测预报制</w:t>
      </w:r>
      <w:r>
        <w:rPr>
          <w:w w:val="99"/>
        </w:rPr>
        <w:t>度，开展重大决策人口影响评估，完善重大人口政策咨询机制，</w:t>
      </w:r>
      <w:r>
        <w:rPr>
          <w:spacing w:val="-7"/>
          <w:w w:val="99"/>
        </w:rPr>
        <w:t>研究提出全市人口发展战略，拟订人口发展规划和人口政策，研</w:t>
      </w:r>
      <w:r>
        <w:rPr>
          <w:spacing w:val="-9"/>
          <w:w w:val="99"/>
        </w:rPr>
        <w:t>究提出全市人口发展战略，拟订人口发展规划和人口政策，研究</w:t>
      </w:r>
      <w:r>
        <w:rPr>
          <w:spacing w:val="-12"/>
          <w:w w:val="99"/>
        </w:rPr>
        <w:t>提出人口与经济、社会、资源、环境协调可持续发展，以及统筹</w:t>
      </w:r>
      <w:r>
        <w:rPr>
          <w:spacing w:val="-2"/>
          <w:w w:val="99"/>
        </w:rPr>
        <w:t>促进人口长期均衡发展的政策建议。</w:t>
      </w:r>
    </w:p>
    <w:p>
      <w:pPr>
        <w:pStyle w:val="9"/>
        <w:numPr>
          <w:ilvl w:val="0"/>
          <w:numId w:val="10"/>
        </w:numPr>
        <w:tabs>
          <w:tab w:val="left" w:pos="1556"/>
        </w:tabs>
        <w:spacing w:before="0" w:after="0" w:line="312" w:lineRule="auto"/>
        <w:ind w:left="114" w:right="138" w:firstLine="640"/>
        <w:jc w:val="left"/>
        <w:rPr>
          <w:sz w:val="32"/>
        </w:rPr>
      </w:pPr>
      <w:r>
        <w:rPr>
          <w:spacing w:val="-2"/>
          <w:sz w:val="32"/>
        </w:rPr>
        <w:t>与市民政局的有关职责分工。市卫生健康委负责拟订应人口老龄化、医养结合政策措施，综合协调、督促指导、组织推进老龄健康事业发展，承担老年疾病防治、老年人医疗照护，</w:t>
      </w:r>
      <w:r>
        <w:rPr>
          <w:spacing w:val="-8"/>
          <w:sz w:val="32"/>
        </w:rPr>
        <w:t>老年人心理健康与关怀服务等老年健康工作。市民政局负责统筹</w:t>
      </w:r>
      <w:r>
        <w:rPr>
          <w:spacing w:val="-2"/>
          <w:sz w:val="32"/>
        </w:rPr>
        <w:t>推进、督促指导、监督管理养老服务工作，拟订养老服务体系建设规划、政策、标准并组织实施，承担老年人福利和特殊困难老年人救助工作。</w:t>
      </w:r>
    </w:p>
    <w:p>
      <w:pPr>
        <w:pStyle w:val="9"/>
        <w:numPr>
          <w:ilvl w:val="0"/>
          <w:numId w:val="10"/>
        </w:numPr>
        <w:tabs>
          <w:tab w:val="left" w:pos="1556"/>
        </w:tabs>
        <w:spacing w:before="0" w:after="0" w:line="312" w:lineRule="auto"/>
        <w:ind w:left="114" w:right="255" w:firstLine="640"/>
        <w:jc w:val="both"/>
        <w:rPr>
          <w:sz w:val="32"/>
        </w:rPr>
      </w:pPr>
      <w:r>
        <w:rPr>
          <w:spacing w:val="-2"/>
          <w:sz w:val="32"/>
        </w:rPr>
        <w:t>与市市场监督管理局的有关职责分工。市卫生健康委</w:t>
      </w:r>
      <w:r>
        <w:rPr>
          <w:spacing w:val="-10"/>
          <w:sz w:val="32"/>
        </w:rPr>
        <w:t>负责食品安全企业标准备案工作，会同市市场监督管理局等部门</w:t>
      </w:r>
      <w:r>
        <w:rPr>
          <w:spacing w:val="-13"/>
          <w:sz w:val="32"/>
        </w:rPr>
        <w:t>制定、实施食品安全风险监测计划。市卫生健康委对食品安全风</w:t>
      </w:r>
      <w:r>
        <w:rPr>
          <w:spacing w:val="-2"/>
          <w:sz w:val="32"/>
        </w:rPr>
        <w:t>险监测结果表明可能存在食品安全隐患的相关信息通报市市场</w:t>
      </w:r>
      <w:r>
        <w:rPr>
          <w:spacing w:val="-13"/>
          <w:sz w:val="32"/>
        </w:rPr>
        <w:t>监督管理局等部门，市市场监督管理局等部门组织开展进一步调</w:t>
      </w:r>
      <w:r>
        <w:rPr>
          <w:spacing w:val="-12"/>
          <w:sz w:val="32"/>
        </w:rPr>
        <w:t>查。市市场监督管理局会同市卫生健康委组织执行国家药典，建</w:t>
      </w:r>
      <w:r>
        <w:rPr>
          <w:spacing w:val="-2"/>
          <w:sz w:val="32"/>
        </w:rPr>
        <w:t>立重大药品不良反应和医疗器械不良事件相互通报机制和联合处理机制。</w:t>
      </w:r>
    </w:p>
    <w:p>
      <w:pPr>
        <w:pStyle w:val="9"/>
        <w:spacing w:after="0" w:line="312" w:lineRule="auto"/>
        <w:jc w:val="both"/>
        <w:rPr>
          <w:sz w:val="32"/>
        </w:rPr>
        <w:sectPr>
          <w:pgSz w:w="11910" w:h="16840"/>
          <w:pgMar w:top="1600" w:right="1275" w:bottom="900" w:left="1417" w:header="0" w:footer="700" w:gutter="0"/>
          <w:cols w:space="720" w:num="1"/>
        </w:sectPr>
      </w:pPr>
    </w:p>
    <w:p>
      <w:pPr>
        <w:pStyle w:val="9"/>
        <w:numPr>
          <w:ilvl w:val="0"/>
          <w:numId w:val="10"/>
        </w:numPr>
        <w:tabs>
          <w:tab w:val="left" w:pos="1556"/>
        </w:tabs>
        <w:spacing w:before="20" w:after="0" w:line="312" w:lineRule="auto"/>
        <w:ind w:left="114" w:right="254" w:firstLine="640"/>
        <w:jc w:val="both"/>
        <w:rPr>
          <w:sz w:val="32"/>
        </w:rPr>
      </w:pPr>
      <w:r>
        <w:rPr>
          <w:spacing w:val="-2"/>
          <w:sz w:val="32"/>
        </w:rPr>
        <w:t>与市医疗保障局的有关职责分工。两部门在医疗、医</w:t>
      </w:r>
      <w:r>
        <w:rPr>
          <w:spacing w:val="-6"/>
          <w:sz w:val="32"/>
        </w:rPr>
        <w:t>保、医药等方面加强制度、政策衔接，建立沟通协商机制，协同</w:t>
      </w:r>
      <w:r>
        <w:rPr>
          <w:spacing w:val="-2"/>
          <w:sz w:val="32"/>
        </w:rPr>
        <w:t>推进改革，提高医疗资源使用效率和医疗保障水平。</w:t>
      </w:r>
    </w:p>
    <w:p>
      <w:pPr>
        <w:pStyle w:val="9"/>
        <w:numPr>
          <w:ilvl w:val="0"/>
          <w:numId w:val="10"/>
        </w:numPr>
        <w:tabs>
          <w:tab w:val="left" w:pos="1556"/>
        </w:tabs>
        <w:spacing w:before="0" w:after="0" w:line="312" w:lineRule="auto"/>
        <w:ind w:left="114" w:right="254" w:firstLine="640"/>
        <w:jc w:val="both"/>
        <w:rPr>
          <w:sz w:val="32"/>
        </w:rPr>
      </w:pPr>
      <w:r>
        <w:rPr>
          <w:spacing w:val="-2"/>
          <w:sz w:val="32"/>
        </w:rPr>
        <w:t>与遂宁海关的有关职责分工。市卫生健康委负责全市</w:t>
      </w:r>
      <w:r>
        <w:rPr>
          <w:spacing w:val="-8"/>
          <w:sz w:val="32"/>
        </w:rPr>
        <w:t>传染病总体防治和突发公共卫生事件应急工作，与遂宁海关建立</w:t>
      </w:r>
      <w:r>
        <w:rPr>
          <w:spacing w:val="-7"/>
          <w:sz w:val="32"/>
        </w:rPr>
        <w:t>健全应对口岸传染病疫情和公共卫生事件合作机制，建立和完善</w:t>
      </w:r>
      <w:r>
        <w:rPr>
          <w:spacing w:val="-8"/>
          <w:sz w:val="32"/>
        </w:rPr>
        <w:t>传染病疫情和公共卫生事件通报交流机制，建立口岸输入性疫情</w:t>
      </w:r>
      <w:r>
        <w:rPr>
          <w:spacing w:val="-2"/>
          <w:sz w:val="32"/>
        </w:rPr>
        <w:t>的通报和协作处理机制。</w:t>
      </w:r>
    </w:p>
    <w:p>
      <w:pPr>
        <w:pStyle w:val="4"/>
        <w:spacing w:before="211"/>
        <w:ind w:left="0"/>
      </w:pPr>
    </w:p>
    <w:p>
      <w:pPr>
        <w:pStyle w:val="3"/>
      </w:pPr>
      <w:r>
        <w:rPr>
          <w:spacing w:val="-2"/>
        </w:rPr>
        <w:t>（三）</w:t>
      </w:r>
      <w:r>
        <w:rPr>
          <w:spacing w:val="-4"/>
        </w:rPr>
        <w:t>人员概况。</w:t>
      </w:r>
    </w:p>
    <w:p>
      <w:pPr>
        <w:pStyle w:val="4"/>
        <w:spacing w:before="124"/>
        <w:ind w:left="0" w:right="255"/>
        <w:jc w:val="right"/>
      </w:pPr>
      <w:r>
        <w:rPr>
          <w:spacing w:val="-10"/>
        </w:rPr>
        <w:t xml:space="preserve">遂宁市卫生健康委员会，行政编制 </w:t>
      </w:r>
      <w:r>
        <w:rPr>
          <w:spacing w:val="-6"/>
        </w:rPr>
        <w:t>41</w:t>
      </w:r>
      <w:r>
        <w:rPr>
          <w:spacing w:val="-14"/>
        </w:rPr>
        <w:t xml:space="preserve"> 名，参公事业编制</w:t>
      </w:r>
    </w:p>
    <w:p>
      <w:pPr>
        <w:pStyle w:val="4"/>
        <w:spacing w:before="124"/>
        <w:ind w:left="0" w:right="255"/>
        <w:jc w:val="right"/>
      </w:pPr>
      <w:r>
        <w:rPr>
          <w:spacing w:val="-4"/>
        </w:rPr>
        <w:t>43</w:t>
      </w:r>
      <w:r>
        <w:rPr>
          <w:spacing w:val="-18"/>
        </w:rPr>
        <w:t xml:space="preserve"> 名,局属医管中心事业编制 </w:t>
      </w:r>
      <w:r>
        <w:rPr>
          <w:spacing w:val="-4"/>
        </w:rPr>
        <w:t>2064</w:t>
      </w:r>
      <w:r>
        <w:rPr>
          <w:spacing w:val="-49"/>
        </w:rPr>
        <w:t xml:space="preserve"> 名。截至 </w:t>
      </w:r>
      <w:r>
        <w:rPr>
          <w:spacing w:val="-4"/>
        </w:rPr>
        <w:t>2023</w:t>
      </w:r>
      <w:r>
        <w:rPr>
          <w:spacing w:val="-17"/>
        </w:rPr>
        <w:t xml:space="preserve"> 年年末在职</w:t>
      </w:r>
    </w:p>
    <w:p>
      <w:pPr>
        <w:pStyle w:val="4"/>
        <w:spacing w:before="124"/>
        <w:ind w:left="0" w:right="256"/>
        <w:jc w:val="right"/>
      </w:pPr>
      <w:r>
        <w:rPr>
          <w:spacing w:val="-4"/>
        </w:rPr>
        <w:t>4817</w:t>
      </w:r>
      <w:r>
        <w:rPr>
          <w:spacing w:val="-25"/>
        </w:rPr>
        <w:t xml:space="preserve"> 名，其中在编人员 </w:t>
      </w:r>
      <w:r>
        <w:rPr>
          <w:spacing w:val="-4"/>
        </w:rPr>
        <w:t>2148</w:t>
      </w:r>
      <w:r>
        <w:rPr>
          <w:spacing w:val="-19"/>
        </w:rPr>
        <w:t xml:space="preserve"> 名,编外长聘人员 </w:t>
      </w:r>
      <w:r>
        <w:rPr>
          <w:spacing w:val="-4"/>
        </w:rPr>
        <w:t>2669</w:t>
      </w:r>
      <w:r>
        <w:rPr>
          <w:spacing w:val="-32"/>
        </w:rPr>
        <w:t xml:space="preserve"> 名。离休</w:t>
      </w:r>
    </w:p>
    <w:p>
      <w:pPr>
        <w:pStyle w:val="4"/>
        <w:spacing w:before="124"/>
        <w:ind w:left="534"/>
      </w:pPr>
      <w:r>
        <w:rPr>
          <w:spacing w:val="-27"/>
        </w:rPr>
        <w:t xml:space="preserve">人员 </w:t>
      </w:r>
      <w:r>
        <w:rPr>
          <w:spacing w:val="-4"/>
        </w:rPr>
        <w:t>2</w:t>
      </w:r>
      <w:r>
        <w:rPr>
          <w:spacing w:val="-24"/>
        </w:rPr>
        <w:t xml:space="preserve"> 名，退休人员 </w:t>
      </w:r>
      <w:r>
        <w:rPr>
          <w:spacing w:val="-4"/>
        </w:rPr>
        <w:t>914</w:t>
      </w:r>
      <w:r>
        <w:rPr>
          <w:spacing w:val="-24"/>
        </w:rPr>
        <w:t xml:space="preserve"> 名，其他人员 </w:t>
      </w:r>
      <w:r>
        <w:rPr>
          <w:spacing w:val="-4"/>
        </w:rPr>
        <w:t>13</w:t>
      </w:r>
      <w:r>
        <w:rPr>
          <w:spacing w:val="-30"/>
        </w:rPr>
        <w:t xml:space="preserve"> 名。</w:t>
      </w:r>
    </w:p>
    <w:p>
      <w:pPr>
        <w:pStyle w:val="4"/>
        <w:spacing w:before="155"/>
        <w:ind w:left="755"/>
        <w:rPr>
          <w:rFonts w:ascii="黑体" w:eastAsia="黑体"/>
        </w:rPr>
      </w:pPr>
      <w:r>
        <w:rPr>
          <w:rFonts w:ascii="黑体" w:eastAsia="黑体"/>
          <w:spacing w:val="-5"/>
        </w:rPr>
        <w:t>二、部门资金收支情况</w:t>
      </w:r>
    </w:p>
    <w:p>
      <w:pPr>
        <w:pStyle w:val="3"/>
        <w:spacing w:before="160"/>
      </w:pPr>
      <w:r>
        <w:rPr>
          <w:spacing w:val="-2"/>
        </w:rPr>
        <w:t>（一）</w:t>
      </w:r>
      <w:r>
        <w:rPr>
          <w:spacing w:val="-4"/>
        </w:rPr>
        <w:t>收入情况。</w:t>
      </w:r>
    </w:p>
    <w:p>
      <w:pPr>
        <w:pStyle w:val="4"/>
        <w:spacing w:before="134"/>
        <w:ind w:left="755"/>
      </w:pPr>
      <w:r>
        <w:t>2023</w:t>
      </w:r>
      <w:r>
        <w:rPr>
          <w:spacing w:val="-12"/>
        </w:rPr>
        <w:t xml:space="preserve"> 年卫生健康委员会年初预算 </w:t>
      </w:r>
      <w:r>
        <w:t>318716.76</w:t>
      </w:r>
      <w:r>
        <w:rPr>
          <w:spacing w:val="-11"/>
        </w:rPr>
        <w:t xml:space="preserve"> 万元，其中年</w:t>
      </w:r>
    </w:p>
    <w:p>
      <w:pPr>
        <w:pStyle w:val="4"/>
        <w:spacing w:before="124"/>
      </w:pPr>
      <w:r>
        <w:rPr>
          <w:spacing w:val="-14"/>
        </w:rPr>
        <w:t xml:space="preserve">初财政拨款 </w:t>
      </w:r>
      <w:r>
        <w:rPr>
          <w:spacing w:val="-2"/>
        </w:rPr>
        <w:t>9860.16</w:t>
      </w:r>
      <w:r>
        <w:rPr>
          <w:spacing w:val="-20"/>
        </w:rPr>
        <w:t xml:space="preserve"> 万元，事业收入 </w:t>
      </w:r>
      <w:r>
        <w:rPr>
          <w:spacing w:val="-2"/>
        </w:rPr>
        <w:t>306244.6</w:t>
      </w:r>
      <w:r>
        <w:rPr>
          <w:spacing w:val="-14"/>
        </w:rPr>
        <w:t xml:space="preserve"> 万元，年初结转</w:t>
      </w:r>
    </w:p>
    <w:p>
      <w:pPr>
        <w:pStyle w:val="4"/>
        <w:spacing w:before="124" w:line="312" w:lineRule="auto"/>
        <w:ind w:right="254"/>
      </w:pPr>
      <w:r>
        <w:rPr>
          <w:spacing w:val="-28"/>
        </w:rPr>
        <w:t xml:space="preserve">结余 </w:t>
      </w:r>
      <w:r>
        <w:rPr>
          <w:spacing w:val="-2"/>
        </w:rPr>
        <w:t>0</w:t>
      </w:r>
      <w:r>
        <w:rPr>
          <w:spacing w:val="-15"/>
        </w:rPr>
        <w:t xml:space="preserve">，其他收入 </w:t>
      </w:r>
      <w:r>
        <w:rPr>
          <w:spacing w:val="-2"/>
        </w:rPr>
        <w:t>2612</w:t>
      </w:r>
      <w:r>
        <w:rPr>
          <w:spacing w:val="-21"/>
        </w:rPr>
        <w:t xml:space="preserve"> 万元，中期调整 </w:t>
      </w:r>
      <w:r>
        <w:rPr>
          <w:spacing w:val="-2"/>
        </w:rPr>
        <w:t>34880.36</w:t>
      </w:r>
      <w:r>
        <w:rPr>
          <w:spacing w:val="-14"/>
        </w:rPr>
        <w:t xml:space="preserve"> 万元，年度预</w:t>
      </w:r>
      <w:r>
        <w:rPr>
          <w:spacing w:val="-10"/>
        </w:rPr>
        <w:t xml:space="preserve">算数 </w:t>
      </w:r>
      <w:r>
        <w:t>368739.79</w:t>
      </w:r>
      <w:r>
        <w:rPr>
          <w:spacing w:val="-8"/>
        </w:rPr>
        <w:t xml:space="preserve"> 万元。具体情况详见表 </w:t>
      </w:r>
      <w:r>
        <w:t>2-1：</w:t>
      </w:r>
    </w:p>
    <w:p>
      <w:pPr>
        <w:spacing w:before="0" w:line="262" w:lineRule="exact"/>
        <w:ind w:left="2514" w:right="0" w:firstLine="0"/>
        <w:jc w:val="left"/>
        <w:rPr>
          <w:b/>
          <w:sz w:val="24"/>
        </w:rPr>
      </w:pPr>
      <w:r>
        <w:rPr>
          <w:b/>
          <w:spacing w:val="-31"/>
          <w:sz w:val="24"/>
        </w:rPr>
        <w:t xml:space="preserve">表 </w:t>
      </w:r>
      <w:r>
        <w:rPr>
          <w:rFonts w:ascii="Calibri" w:eastAsia="Calibri"/>
          <w:b/>
          <w:sz w:val="24"/>
        </w:rPr>
        <w:t>2-1</w:t>
      </w:r>
      <w:r>
        <w:rPr>
          <w:rFonts w:ascii="Calibri" w:eastAsia="Calibri"/>
          <w:b/>
          <w:spacing w:val="55"/>
          <w:sz w:val="24"/>
        </w:rPr>
        <w:t xml:space="preserve"> </w:t>
      </w:r>
      <w:r>
        <w:rPr>
          <w:b/>
          <w:spacing w:val="-2"/>
          <w:sz w:val="24"/>
        </w:rPr>
        <w:t>年度预算表</w:t>
      </w:r>
    </w:p>
    <w:p>
      <w:pPr>
        <w:spacing w:before="78"/>
        <w:ind w:left="0" w:right="256" w:firstLine="0"/>
        <w:jc w:val="right"/>
        <w:rPr>
          <w:b/>
          <w:sz w:val="21"/>
        </w:rPr>
      </w:pPr>
      <w:r>
        <w:rPr>
          <w:b/>
          <w:spacing w:val="-4"/>
          <w:sz w:val="21"/>
        </w:rPr>
        <w:t>单位：万元</w:t>
      </w:r>
    </w:p>
    <w:p>
      <w:pPr>
        <w:pStyle w:val="4"/>
        <w:spacing w:before="3"/>
        <w:ind w:left="0"/>
        <w:rPr>
          <w:b/>
          <w:sz w:val="6"/>
        </w:rPr>
      </w:pPr>
    </w:p>
    <w:tbl>
      <w:tblPr>
        <w:tblStyle w:val="6"/>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4"/>
        <w:gridCol w:w="2263"/>
        <w:gridCol w:w="2271"/>
        <w:gridCol w:w="2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hRule="atLeast"/>
        </w:trPr>
        <w:tc>
          <w:tcPr>
            <w:tcW w:w="2254" w:type="dxa"/>
          </w:tcPr>
          <w:p>
            <w:pPr>
              <w:pStyle w:val="10"/>
              <w:spacing w:before="34" w:line="269" w:lineRule="exact"/>
              <w:ind w:left="11" w:right="5"/>
              <w:jc w:val="center"/>
              <w:rPr>
                <w:rFonts w:ascii="仿宋" w:eastAsia="仿宋"/>
                <w:b/>
                <w:sz w:val="22"/>
              </w:rPr>
            </w:pPr>
            <w:r>
              <w:rPr>
                <w:rFonts w:ascii="仿宋" w:eastAsia="仿宋"/>
                <w:b/>
                <w:spacing w:val="-4"/>
                <w:sz w:val="22"/>
              </w:rPr>
              <w:t>项目名称</w:t>
            </w:r>
          </w:p>
        </w:tc>
        <w:tc>
          <w:tcPr>
            <w:tcW w:w="2263" w:type="dxa"/>
          </w:tcPr>
          <w:p>
            <w:pPr>
              <w:pStyle w:val="10"/>
              <w:spacing w:before="34" w:line="269" w:lineRule="exact"/>
              <w:ind w:left="11"/>
              <w:jc w:val="center"/>
              <w:rPr>
                <w:rFonts w:ascii="仿宋" w:eastAsia="仿宋"/>
                <w:b/>
                <w:sz w:val="22"/>
              </w:rPr>
            </w:pPr>
            <w:r>
              <w:rPr>
                <w:rFonts w:ascii="仿宋" w:eastAsia="仿宋"/>
                <w:b/>
                <w:spacing w:val="-4"/>
                <w:sz w:val="22"/>
              </w:rPr>
              <w:t>年初预算</w:t>
            </w:r>
          </w:p>
        </w:tc>
        <w:tc>
          <w:tcPr>
            <w:tcW w:w="2271" w:type="dxa"/>
          </w:tcPr>
          <w:p>
            <w:pPr>
              <w:pStyle w:val="10"/>
              <w:spacing w:before="34" w:line="269" w:lineRule="exact"/>
              <w:ind w:left="11" w:right="3"/>
              <w:jc w:val="center"/>
              <w:rPr>
                <w:rFonts w:ascii="仿宋" w:eastAsia="仿宋"/>
                <w:b/>
                <w:sz w:val="22"/>
              </w:rPr>
            </w:pPr>
            <w:r>
              <w:rPr>
                <w:rFonts w:ascii="仿宋" w:eastAsia="仿宋"/>
                <w:b/>
                <w:spacing w:val="-4"/>
                <w:sz w:val="22"/>
              </w:rPr>
              <w:t>中期调整</w:t>
            </w:r>
          </w:p>
        </w:tc>
        <w:tc>
          <w:tcPr>
            <w:tcW w:w="2271" w:type="dxa"/>
          </w:tcPr>
          <w:p>
            <w:pPr>
              <w:pStyle w:val="10"/>
              <w:spacing w:before="34" w:line="269" w:lineRule="exact"/>
              <w:ind w:left="11" w:right="4"/>
              <w:jc w:val="center"/>
              <w:rPr>
                <w:rFonts w:ascii="仿宋" w:eastAsia="仿宋"/>
                <w:b/>
                <w:sz w:val="22"/>
              </w:rPr>
            </w:pPr>
            <w:r>
              <w:rPr>
                <w:rFonts w:ascii="仿宋" w:eastAsia="仿宋"/>
                <w:b/>
                <w:spacing w:val="-4"/>
                <w:sz w:val="22"/>
              </w:rPr>
              <w:t>年度总预算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hRule="atLeast"/>
        </w:trPr>
        <w:tc>
          <w:tcPr>
            <w:tcW w:w="2254" w:type="dxa"/>
          </w:tcPr>
          <w:p>
            <w:pPr>
              <w:pStyle w:val="10"/>
              <w:spacing w:before="32"/>
              <w:ind w:left="11" w:right="2"/>
              <w:jc w:val="center"/>
              <w:rPr>
                <w:rFonts w:ascii="仿宋" w:eastAsia="仿宋"/>
                <w:sz w:val="22"/>
              </w:rPr>
            </w:pPr>
            <w:r>
              <w:rPr>
                <w:rFonts w:ascii="仿宋" w:eastAsia="仿宋"/>
                <w:spacing w:val="-3"/>
                <w:sz w:val="22"/>
              </w:rPr>
              <w:t>一、一般公共预算财</w:t>
            </w:r>
          </w:p>
          <w:p>
            <w:pPr>
              <w:pStyle w:val="10"/>
              <w:spacing w:before="36" w:line="266" w:lineRule="exact"/>
              <w:ind w:left="11" w:right="2"/>
              <w:jc w:val="center"/>
              <w:rPr>
                <w:rFonts w:ascii="仿宋" w:eastAsia="仿宋"/>
                <w:sz w:val="22"/>
              </w:rPr>
            </w:pPr>
            <w:r>
              <w:rPr>
                <w:rFonts w:ascii="仿宋" w:eastAsia="仿宋"/>
                <w:spacing w:val="-4"/>
                <w:sz w:val="22"/>
              </w:rPr>
              <w:t>政拨款收入</w:t>
            </w:r>
          </w:p>
        </w:tc>
        <w:tc>
          <w:tcPr>
            <w:tcW w:w="2263" w:type="dxa"/>
          </w:tcPr>
          <w:p>
            <w:pPr>
              <w:pStyle w:val="10"/>
              <w:spacing w:before="47"/>
              <w:ind w:left="11" w:right="3"/>
              <w:jc w:val="center"/>
              <w:rPr>
                <w:rFonts w:ascii="Calibri"/>
                <w:sz w:val="22"/>
              </w:rPr>
            </w:pPr>
            <w:r>
              <w:rPr>
                <w:rFonts w:ascii="Calibri"/>
                <w:spacing w:val="-4"/>
                <w:sz w:val="22"/>
              </w:rPr>
              <w:t>9860</w:t>
            </w:r>
          </w:p>
        </w:tc>
        <w:tc>
          <w:tcPr>
            <w:tcW w:w="2271" w:type="dxa"/>
          </w:tcPr>
          <w:p>
            <w:pPr>
              <w:pStyle w:val="10"/>
              <w:spacing w:before="207"/>
              <w:ind w:left="11" w:right="1"/>
              <w:jc w:val="center"/>
              <w:rPr>
                <w:rFonts w:ascii="Calibri"/>
                <w:sz w:val="22"/>
              </w:rPr>
            </w:pPr>
            <w:r>
              <w:rPr>
                <w:rFonts w:ascii="Calibri"/>
                <w:spacing w:val="-2"/>
                <w:sz w:val="22"/>
              </w:rPr>
              <w:t>16120.19</w:t>
            </w:r>
          </w:p>
        </w:tc>
        <w:tc>
          <w:tcPr>
            <w:tcW w:w="2271" w:type="dxa"/>
          </w:tcPr>
          <w:p>
            <w:pPr>
              <w:pStyle w:val="10"/>
              <w:spacing w:before="207"/>
              <w:ind w:left="11" w:right="3"/>
              <w:jc w:val="center"/>
              <w:rPr>
                <w:rFonts w:ascii="Calibri"/>
                <w:sz w:val="22"/>
              </w:rPr>
            </w:pPr>
            <w:r>
              <w:rPr>
                <w:rFonts w:ascii="Calibri"/>
                <w:spacing w:val="-2"/>
                <w:sz w:val="22"/>
              </w:rPr>
              <w:t>25980.35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hRule="atLeast"/>
        </w:trPr>
        <w:tc>
          <w:tcPr>
            <w:tcW w:w="2254" w:type="dxa"/>
          </w:tcPr>
          <w:p>
            <w:pPr>
              <w:pStyle w:val="10"/>
              <w:spacing w:before="32" w:line="270" w:lineRule="exact"/>
              <w:ind w:left="11"/>
              <w:jc w:val="center"/>
              <w:rPr>
                <w:rFonts w:ascii="仿宋" w:eastAsia="仿宋"/>
                <w:sz w:val="22"/>
              </w:rPr>
            </w:pPr>
            <w:r>
              <w:rPr>
                <w:rFonts w:ascii="仿宋" w:eastAsia="仿宋"/>
                <w:spacing w:val="-4"/>
                <w:sz w:val="22"/>
              </w:rPr>
              <w:t>二、其他收入</w:t>
            </w:r>
          </w:p>
        </w:tc>
        <w:tc>
          <w:tcPr>
            <w:tcW w:w="2263" w:type="dxa"/>
          </w:tcPr>
          <w:p>
            <w:pPr>
              <w:pStyle w:val="10"/>
              <w:spacing w:before="47" w:line="256" w:lineRule="exact"/>
              <w:ind w:left="11" w:right="3"/>
              <w:jc w:val="center"/>
              <w:rPr>
                <w:rFonts w:ascii="Calibri"/>
                <w:sz w:val="22"/>
              </w:rPr>
            </w:pPr>
            <w:r>
              <w:rPr>
                <w:rFonts w:ascii="Calibri"/>
                <w:spacing w:val="-4"/>
                <w:sz w:val="22"/>
              </w:rPr>
              <w:t>2612</w:t>
            </w:r>
          </w:p>
        </w:tc>
        <w:tc>
          <w:tcPr>
            <w:tcW w:w="2271" w:type="dxa"/>
          </w:tcPr>
          <w:p>
            <w:pPr>
              <w:pStyle w:val="10"/>
              <w:spacing w:before="47" w:line="256" w:lineRule="exact"/>
              <w:ind w:left="11" w:right="1"/>
              <w:jc w:val="center"/>
              <w:rPr>
                <w:rFonts w:ascii="Calibri"/>
                <w:sz w:val="22"/>
              </w:rPr>
            </w:pPr>
            <w:r>
              <w:rPr>
                <w:rFonts w:ascii="Calibri"/>
                <w:spacing w:val="-2"/>
                <w:sz w:val="22"/>
              </w:rPr>
              <w:t>39595.6</w:t>
            </w:r>
          </w:p>
        </w:tc>
        <w:tc>
          <w:tcPr>
            <w:tcW w:w="2271" w:type="dxa"/>
          </w:tcPr>
          <w:p>
            <w:pPr>
              <w:pStyle w:val="10"/>
              <w:spacing w:before="47" w:line="256" w:lineRule="exact"/>
              <w:ind w:left="11" w:right="3"/>
              <w:jc w:val="center"/>
              <w:rPr>
                <w:rFonts w:ascii="Calibri"/>
                <w:sz w:val="22"/>
              </w:rPr>
            </w:pPr>
            <w:r>
              <w:rPr>
                <w:rFonts w:ascii="Calibri"/>
                <w:spacing w:val="-2"/>
                <w:sz w:val="22"/>
              </w:rPr>
              <w:t>42207.6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3" w:hRule="atLeast"/>
        </w:trPr>
        <w:tc>
          <w:tcPr>
            <w:tcW w:w="2254" w:type="dxa"/>
          </w:tcPr>
          <w:p>
            <w:pPr>
              <w:pStyle w:val="10"/>
              <w:spacing w:before="33" w:line="270" w:lineRule="exact"/>
              <w:ind w:left="11"/>
              <w:jc w:val="center"/>
              <w:rPr>
                <w:rFonts w:ascii="仿宋" w:eastAsia="仿宋"/>
                <w:sz w:val="22"/>
              </w:rPr>
            </w:pPr>
            <w:r>
              <w:rPr>
                <w:rFonts w:ascii="仿宋" w:eastAsia="仿宋"/>
                <w:spacing w:val="-4"/>
                <w:sz w:val="22"/>
              </w:rPr>
              <w:t>三、年初结转结余</w:t>
            </w:r>
          </w:p>
        </w:tc>
        <w:tc>
          <w:tcPr>
            <w:tcW w:w="2263" w:type="dxa"/>
          </w:tcPr>
          <w:p>
            <w:pPr>
              <w:pStyle w:val="10"/>
              <w:spacing w:before="48" w:line="255" w:lineRule="exact"/>
              <w:ind w:left="11" w:right="3"/>
              <w:jc w:val="center"/>
              <w:rPr>
                <w:rFonts w:ascii="Calibri"/>
                <w:sz w:val="22"/>
              </w:rPr>
            </w:pPr>
            <w:r>
              <w:rPr>
                <w:rFonts w:ascii="Calibri"/>
                <w:spacing w:val="-10"/>
                <w:sz w:val="22"/>
              </w:rPr>
              <w:t>0</w:t>
            </w:r>
          </w:p>
        </w:tc>
        <w:tc>
          <w:tcPr>
            <w:tcW w:w="2271" w:type="dxa"/>
          </w:tcPr>
          <w:p>
            <w:pPr>
              <w:pStyle w:val="10"/>
              <w:spacing w:before="48" w:line="255" w:lineRule="exact"/>
              <w:ind w:left="11" w:right="1"/>
              <w:jc w:val="center"/>
              <w:rPr>
                <w:rFonts w:ascii="Calibri"/>
                <w:sz w:val="22"/>
              </w:rPr>
            </w:pPr>
            <w:r>
              <w:rPr>
                <w:rFonts w:ascii="Calibri"/>
                <w:spacing w:val="-4"/>
                <w:sz w:val="22"/>
              </w:rPr>
              <w:t>2.19</w:t>
            </w:r>
          </w:p>
        </w:tc>
        <w:tc>
          <w:tcPr>
            <w:tcW w:w="2271" w:type="dxa"/>
          </w:tcPr>
          <w:p>
            <w:pPr>
              <w:pStyle w:val="10"/>
              <w:spacing w:before="48" w:line="255" w:lineRule="exact"/>
              <w:ind w:left="11"/>
              <w:jc w:val="center"/>
              <w:rPr>
                <w:rFonts w:ascii="Calibri"/>
                <w:sz w:val="22"/>
              </w:rPr>
            </w:pPr>
            <w:r>
              <w:rPr>
                <w:rFonts w:ascii="Calibri"/>
                <w:spacing w:val="-4"/>
                <w:sz w:val="22"/>
              </w:rPr>
              <w:t>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2254" w:type="dxa"/>
          </w:tcPr>
          <w:p>
            <w:pPr>
              <w:pStyle w:val="10"/>
              <w:spacing w:before="34" w:line="267" w:lineRule="exact"/>
              <w:ind w:left="11"/>
              <w:jc w:val="center"/>
              <w:rPr>
                <w:rFonts w:ascii="仿宋" w:eastAsia="仿宋"/>
                <w:sz w:val="22"/>
              </w:rPr>
            </w:pPr>
            <w:r>
              <w:rPr>
                <w:rFonts w:ascii="仿宋" w:eastAsia="仿宋"/>
                <w:spacing w:val="-4"/>
                <w:sz w:val="22"/>
              </w:rPr>
              <w:t>四、事业收入</w:t>
            </w:r>
          </w:p>
        </w:tc>
        <w:tc>
          <w:tcPr>
            <w:tcW w:w="2263" w:type="dxa"/>
          </w:tcPr>
          <w:p>
            <w:pPr>
              <w:pStyle w:val="10"/>
              <w:spacing w:before="50" w:line="251" w:lineRule="exact"/>
              <w:ind w:left="11"/>
              <w:jc w:val="center"/>
              <w:rPr>
                <w:rFonts w:ascii="Times New Roman"/>
                <w:sz w:val="22"/>
              </w:rPr>
            </w:pPr>
            <w:r>
              <w:rPr>
                <w:rFonts w:ascii="Times New Roman"/>
                <w:spacing w:val="-2"/>
                <w:sz w:val="22"/>
              </w:rPr>
              <w:t>306244.6</w:t>
            </w:r>
          </w:p>
        </w:tc>
        <w:tc>
          <w:tcPr>
            <w:tcW w:w="2271" w:type="dxa"/>
          </w:tcPr>
          <w:p>
            <w:pPr>
              <w:pStyle w:val="10"/>
              <w:spacing w:before="48" w:line="252" w:lineRule="exact"/>
              <w:ind w:left="11" w:right="1"/>
              <w:jc w:val="center"/>
              <w:rPr>
                <w:rFonts w:ascii="Calibri"/>
                <w:b/>
                <w:sz w:val="22"/>
              </w:rPr>
            </w:pPr>
            <w:r>
              <w:rPr>
                <w:rFonts w:ascii="Calibri"/>
                <w:b/>
                <w:spacing w:val="-2"/>
                <w:sz w:val="22"/>
              </w:rPr>
              <w:t>-20837.62</w:t>
            </w:r>
          </w:p>
        </w:tc>
        <w:tc>
          <w:tcPr>
            <w:tcW w:w="2271" w:type="dxa"/>
          </w:tcPr>
          <w:p>
            <w:pPr>
              <w:pStyle w:val="10"/>
              <w:spacing w:before="48" w:line="252" w:lineRule="exact"/>
              <w:ind w:left="11" w:right="3"/>
              <w:jc w:val="center"/>
              <w:rPr>
                <w:rFonts w:ascii="Calibri"/>
                <w:b/>
                <w:sz w:val="22"/>
              </w:rPr>
            </w:pPr>
            <w:r>
              <w:rPr>
                <w:rFonts w:ascii="Calibri"/>
                <w:b/>
                <w:spacing w:val="-2"/>
                <w:sz w:val="22"/>
              </w:rPr>
              <w:t>285406.98</w:t>
            </w:r>
          </w:p>
        </w:tc>
      </w:tr>
    </w:tbl>
    <w:p>
      <w:pPr>
        <w:pStyle w:val="10"/>
        <w:spacing w:after="0" w:line="252" w:lineRule="exact"/>
        <w:jc w:val="center"/>
        <w:rPr>
          <w:rFonts w:ascii="Calibri"/>
          <w:b/>
          <w:sz w:val="22"/>
        </w:rPr>
        <w:sectPr>
          <w:pgSz w:w="11910" w:h="16840"/>
          <w:pgMar w:top="1600" w:right="1275" w:bottom="1400" w:left="1417" w:header="0" w:footer="700" w:gutter="0"/>
          <w:cols w:space="720" w:num="1"/>
        </w:sectPr>
      </w:pPr>
    </w:p>
    <w:tbl>
      <w:tblPr>
        <w:tblStyle w:val="6"/>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4"/>
        <w:gridCol w:w="2263"/>
        <w:gridCol w:w="2271"/>
        <w:gridCol w:w="2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trPr>
        <w:tc>
          <w:tcPr>
            <w:tcW w:w="2254" w:type="dxa"/>
          </w:tcPr>
          <w:p>
            <w:pPr>
              <w:pStyle w:val="10"/>
              <w:spacing w:before="33" w:line="279" w:lineRule="exact"/>
              <w:ind w:left="11" w:right="5"/>
              <w:jc w:val="center"/>
              <w:rPr>
                <w:rFonts w:ascii="仿宋" w:eastAsia="仿宋"/>
                <w:b/>
                <w:sz w:val="22"/>
              </w:rPr>
            </w:pPr>
            <w:r>
              <w:rPr>
                <w:rFonts w:ascii="仿宋" w:eastAsia="仿宋"/>
                <w:b/>
                <w:spacing w:val="-6"/>
                <w:sz w:val="22"/>
              </w:rPr>
              <w:t>总计</w:t>
            </w:r>
          </w:p>
        </w:tc>
        <w:tc>
          <w:tcPr>
            <w:tcW w:w="2263" w:type="dxa"/>
          </w:tcPr>
          <w:p>
            <w:pPr>
              <w:pStyle w:val="10"/>
              <w:spacing w:before="48" w:line="265" w:lineRule="exact"/>
              <w:ind w:left="654"/>
              <w:rPr>
                <w:rFonts w:ascii="Calibri"/>
                <w:b/>
                <w:sz w:val="22"/>
              </w:rPr>
            </w:pPr>
            <w:r>
              <w:rPr>
                <w:rFonts w:ascii="Calibri"/>
                <w:b/>
                <w:spacing w:val="-2"/>
                <w:sz w:val="22"/>
              </w:rPr>
              <w:t>318716.76</w:t>
            </w:r>
          </w:p>
        </w:tc>
        <w:tc>
          <w:tcPr>
            <w:tcW w:w="2271" w:type="dxa"/>
          </w:tcPr>
          <w:p>
            <w:pPr>
              <w:pStyle w:val="10"/>
              <w:spacing w:before="48" w:line="265" w:lineRule="exact"/>
              <w:ind w:left="714"/>
              <w:rPr>
                <w:rFonts w:ascii="Calibri"/>
                <w:b/>
                <w:sz w:val="22"/>
              </w:rPr>
            </w:pPr>
            <w:r>
              <w:rPr>
                <w:rFonts w:ascii="Calibri"/>
                <w:b/>
                <w:spacing w:val="-2"/>
                <w:sz w:val="22"/>
              </w:rPr>
              <w:t>34880.36</w:t>
            </w:r>
          </w:p>
        </w:tc>
        <w:tc>
          <w:tcPr>
            <w:tcW w:w="2271" w:type="dxa"/>
          </w:tcPr>
          <w:p>
            <w:pPr>
              <w:pStyle w:val="10"/>
              <w:spacing w:before="48" w:line="265" w:lineRule="exact"/>
              <w:ind w:left="658"/>
              <w:rPr>
                <w:rFonts w:ascii="Calibri"/>
                <w:b/>
                <w:sz w:val="22"/>
              </w:rPr>
            </w:pPr>
            <w:r>
              <w:rPr>
                <w:rFonts w:ascii="Calibri"/>
                <w:b/>
                <w:spacing w:val="-2"/>
                <w:sz w:val="22"/>
              </w:rPr>
              <w:t>353597.12</w:t>
            </w:r>
          </w:p>
        </w:tc>
      </w:tr>
    </w:tbl>
    <w:p>
      <w:pPr>
        <w:pStyle w:val="4"/>
        <w:spacing w:before="369"/>
        <w:ind w:left="0"/>
        <w:rPr>
          <w:b/>
        </w:rPr>
      </w:pPr>
    </w:p>
    <w:p>
      <w:pPr>
        <w:pStyle w:val="3"/>
        <w:spacing w:before="1"/>
      </w:pPr>
      <w:r>
        <w:rPr>
          <w:spacing w:val="-2"/>
        </w:rPr>
        <w:t>（二）</w:t>
      </w:r>
      <w:r>
        <w:rPr>
          <w:spacing w:val="-4"/>
        </w:rPr>
        <w:t>支出情况。</w:t>
      </w:r>
    </w:p>
    <w:p>
      <w:pPr>
        <w:pStyle w:val="4"/>
        <w:spacing w:before="114"/>
      </w:pPr>
      <w:r>
        <w:rPr>
          <w:spacing w:val="-4"/>
        </w:rPr>
        <w:t>2023</w:t>
      </w:r>
      <w:r>
        <w:rPr>
          <w:spacing w:val="-16"/>
        </w:rPr>
        <w:t xml:space="preserve"> 年度，市卫生健康委财政支出年初预算为 </w:t>
      </w:r>
      <w:r>
        <w:rPr>
          <w:spacing w:val="-4"/>
        </w:rPr>
        <w:t>318716.76</w:t>
      </w:r>
      <w:r>
        <w:rPr>
          <w:spacing w:val="-23"/>
        </w:rPr>
        <w:t xml:space="preserve"> 万元，</w:t>
      </w:r>
    </w:p>
    <w:p>
      <w:pPr>
        <w:pStyle w:val="4"/>
        <w:spacing w:before="105"/>
      </w:pPr>
      <w:r>
        <w:rPr>
          <w:spacing w:val="-14"/>
        </w:rPr>
        <w:t xml:space="preserve">中期调整为 </w:t>
      </w:r>
      <w:r>
        <w:rPr>
          <w:spacing w:val="-4"/>
        </w:rPr>
        <w:t>50023.03</w:t>
      </w:r>
      <w:r>
        <w:rPr>
          <w:spacing w:val="-16"/>
        </w:rPr>
        <w:t xml:space="preserve"> 元，调整后预算支出总额为 </w:t>
      </w:r>
      <w:r>
        <w:rPr>
          <w:spacing w:val="-4"/>
        </w:rPr>
        <w:t>368739.79</w:t>
      </w:r>
      <w:r>
        <w:rPr>
          <w:spacing w:val="-38"/>
        </w:rPr>
        <w:t xml:space="preserve"> 万</w:t>
      </w:r>
    </w:p>
    <w:p>
      <w:pPr>
        <w:pStyle w:val="4"/>
        <w:spacing w:before="104" w:line="300" w:lineRule="auto"/>
        <w:ind w:right="254"/>
      </w:pPr>
      <w:r>
        <w:rPr>
          <w:spacing w:val="-15"/>
        </w:rPr>
        <w:t xml:space="preserve">元，部门支出预算执行总额为 </w:t>
      </w:r>
      <w:r>
        <w:rPr>
          <w:spacing w:val="-2"/>
        </w:rPr>
        <w:t>367317.14</w:t>
      </w:r>
      <w:r>
        <w:rPr>
          <w:spacing w:val="-15"/>
        </w:rPr>
        <w:t xml:space="preserve"> 万元，部门总体执行进</w:t>
      </w:r>
      <w:r>
        <w:rPr>
          <w:spacing w:val="-17"/>
        </w:rPr>
        <w:t xml:space="preserve">度为 </w:t>
      </w:r>
      <w:r>
        <w:t>99.61</w:t>
      </w:r>
      <w:r>
        <w:rPr>
          <w:spacing w:val="-4"/>
        </w:rPr>
        <w:t xml:space="preserve">%，其中：基本支出预算总额为 </w:t>
      </w:r>
      <w:r>
        <w:t>337572.81</w:t>
      </w:r>
      <w:r>
        <w:rPr>
          <w:spacing w:val="-12"/>
        </w:rPr>
        <w:t xml:space="preserve"> 万元，基</w:t>
      </w:r>
      <w:r>
        <w:rPr>
          <w:spacing w:val="-3"/>
        </w:rPr>
        <w:t xml:space="preserve">本支出执行总额为 </w:t>
      </w:r>
      <w:r>
        <w:t>337422.89</w:t>
      </w:r>
      <w:r>
        <w:rPr>
          <w:spacing w:val="-5"/>
        </w:rPr>
        <w:t xml:space="preserve"> 万元，基本支出总体执行进度</w:t>
      </w:r>
    </w:p>
    <w:p>
      <w:pPr>
        <w:pStyle w:val="4"/>
        <w:spacing w:line="300" w:lineRule="auto"/>
        <w:ind w:right="299"/>
        <w:jc w:val="both"/>
      </w:pPr>
      <w:r>
        <w:rPr>
          <w:spacing w:val="-4"/>
        </w:rPr>
        <w:t>99.96</w:t>
      </w:r>
      <w:r>
        <w:rPr>
          <w:spacing w:val="-7"/>
        </w:rPr>
        <w:t xml:space="preserve">%；项目支出预算总额为 </w:t>
      </w:r>
      <w:r>
        <w:rPr>
          <w:spacing w:val="-4"/>
        </w:rPr>
        <w:t>31166.98</w:t>
      </w:r>
      <w:r>
        <w:rPr>
          <w:spacing w:val="-10"/>
        </w:rPr>
        <w:t xml:space="preserve"> 万元，项目支出执行总</w:t>
      </w:r>
      <w:r>
        <w:rPr>
          <w:spacing w:val="-15"/>
        </w:rPr>
        <w:t xml:space="preserve">额为 </w:t>
      </w:r>
      <w:r>
        <w:rPr>
          <w:spacing w:val="-2"/>
        </w:rPr>
        <w:t>29867.3</w:t>
      </w:r>
      <w:r>
        <w:rPr>
          <w:spacing w:val="-10"/>
        </w:rPr>
        <w:t xml:space="preserve"> 万元，项目支出总体执行进度 </w:t>
      </w:r>
      <w:r>
        <w:rPr>
          <w:spacing w:val="-2"/>
        </w:rPr>
        <w:t>95.83%。具体情况</w:t>
      </w:r>
      <w:r>
        <w:rPr>
          <w:spacing w:val="-11"/>
        </w:rPr>
        <w:t xml:space="preserve">详见表 </w:t>
      </w:r>
      <w:r>
        <w:t>2-2。</w:t>
      </w:r>
    </w:p>
    <w:p>
      <w:pPr>
        <w:spacing w:before="0" w:line="279" w:lineRule="exact"/>
        <w:ind w:left="0" w:right="144" w:firstLine="0"/>
        <w:jc w:val="center"/>
        <w:rPr>
          <w:b/>
          <w:sz w:val="24"/>
        </w:rPr>
      </w:pPr>
      <w:r>
        <w:rPr>
          <w:b/>
          <w:spacing w:val="-31"/>
          <w:sz w:val="24"/>
        </w:rPr>
        <w:t xml:space="preserve">表 </w:t>
      </w:r>
      <w:r>
        <w:rPr>
          <w:rFonts w:ascii="Calibri" w:eastAsia="Calibri"/>
          <w:b/>
          <w:sz w:val="24"/>
        </w:rPr>
        <w:t>2-2</w:t>
      </w:r>
      <w:r>
        <w:rPr>
          <w:rFonts w:ascii="Calibri" w:eastAsia="Calibri"/>
          <w:b/>
          <w:spacing w:val="50"/>
          <w:sz w:val="24"/>
        </w:rPr>
        <w:t xml:space="preserve"> </w:t>
      </w:r>
      <w:r>
        <w:rPr>
          <w:b/>
          <w:spacing w:val="-2"/>
          <w:sz w:val="24"/>
        </w:rPr>
        <w:t>年度预算执行表</w:t>
      </w:r>
    </w:p>
    <w:p>
      <w:pPr>
        <w:spacing w:before="78"/>
        <w:ind w:left="0" w:right="256" w:firstLine="0"/>
        <w:jc w:val="right"/>
        <w:rPr>
          <w:b/>
          <w:sz w:val="21"/>
        </w:rPr>
      </w:pPr>
      <w:r>
        <w:rPr>
          <w:b/>
          <w:spacing w:val="-4"/>
          <w:sz w:val="21"/>
        </w:rPr>
        <w:t>单位：万元</w:t>
      </w:r>
    </w:p>
    <w:p>
      <w:pPr>
        <w:pStyle w:val="4"/>
        <w:spacing w:before="4"/>
        <w:ind w:left="0"/>
        <w:rPr>
          <w:b/>
          <w:sz w:val="6"/>
        </w:rPr>
      </w:pPr>
    </w:p>
    <w:tbl>
      <w:tblPr>
        <w:tblStyle w:val="6"/>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1"/>
        <w:gridCol w:w="1371"/>
        <w:gridCol w:w="1374"/>
        <w:gridCol w:w="1499"/>
        <w:gridCol w:w="1500"/>
        <w:gridCol w:w="1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1721" w:type="dxa"/>
          </w:tcPr>
          <w:p>
            <w:pPr>
              <w:pStyle w:val="10"/>
              <w:spacing w:before="32" w:line="275" w:lineRule="exact"/>
              <w:ind w:left="419"/>
              <w:rPr>
                <w:rFonts w:ascii="仿宋" w:eastAsia="仿宋"/>
                <w:b/>
                <w:sz w:val="22"/>
              </w:rPr>
            </w:pPr>
            <w:r>
              <w:rPr>
                <w:rFonts w:ascii="仿宋" w:eastAsia="仿宋"/>
                <w:b/>
                <w:spacing w:val="-4"/>
                <w:sz w:val="22"/>
              </w:rPr>
              <w:t>项目名称</w:t>
            </w:r>
          </w:p>
        </w:tc>
        <w:tc>
          <w:tcPr>
            <w:tcW w:w="1371" w:type="dxa"/>
          </w:tcPr>
          <w:p>
            <w:pPr>
              <w:pStyle w:val="10"/>
              <w:spacing w:before="32" w:line="275" w:lineRule="exact"/>
              <w:ind w:left="10" w:right="4"/>
              <w:jc w:val="center"/>
              <w:rPr>
                <w:rFonts w:ascii="仿宋" w:eastAsia="仿宋"/>
                <w:b/>
                <w:sz w:val="22"/>
              </w:rPr>
            </w:pPr>
            <w:r>
              <w:rPr>
                <w:rFonts w:ascii="仿宋" w:eastAsia="仿宋"/>
                <w:b/>
                <w:spacing w:val="-4"/>
                <w:sz w:val="22"/>
              </w:rPr>
              <w:t>年初预算数</w:t>
            </w:r>
          </w:p>
        </w:tc>
        <w:tc>
          <w:tcPr>
            <w:tcW w:w="1374" w:type="dxa"/>
          </w:tcPr>
          <w:p>
            <w:pPr>
              <w:pStyle w:val="10"/>
              <w:spacing w:before="32" w:line="275" w:lineRule="exact"/>
              <w:ind w:left="8" w:right="2"/>
              <w:jc w:val="center"/>
              <w:rPr>
                <w:rFonts w:ascii="仿宋" w:eastAsia="仿宋"/>
                <w:b/>
                <w:sz w:val="22"/>
              </w:rPr>
            </w:pPr>
            <w:r>
              <w:rPr>
                <w:rFonts w:ascii="仿宋" w:eastAsia="仿宋"/>
                <w:b/>
                <w:spacing w:val="-4"/>
                <w:sz w:val="22"/>
              </w:rPr>
              <w:t>中期调整</w:t>
            </w:r>
          </w:p>
        </w:tc>
        <w:tc>
          <w:tcPr>
            <w:tcW w:w="1499" w:type="dxa"/>
          </w:tcPr>
          <w:p>
            <w:pPr>
              <w:pStyle w:val="10"/>
              <w:spacing w:before="32" w:line="275" w:lineRule="exact"/>
              <w:ind w:left="10" w:right="1"/>
              <w:jc w:val="center"/>
              <w:rPr>
                <w:rFonts w:ascii="仿宋" w:eastAsia="仿宋"/>
                <w:b/>
                <w:sz w:val="22"/>
              </w:rPr>
            </w:pPr>
            <w:r>
              <w:rPr>
                <w:rFonts w:ascii="仿宋" w:eastAsia="仿宋"/>
                <w:b/>
                <w:spacing w:val="-4"/>
                <w:sz w:val="22"/>
              </w:rPr>
              <w:t>年度总预算</w:t>
            </w:r>
          </w:p>
        </w:tc>
        <w:tc>
          <w:tcPr>
            <w:tcW w:w="1500" w:type="dxa"/>
          </w:tcPr>
          <w:p>
            <w:pPr>
              <w:pStyle w:val="10"/>
              <w:spacing w:before="32" w:line="275" w:lineRule="exact"/>
              <w:ind w:left="11" w:right="1"/>
              <w:jc w:val="center"/>
              <w:rPr>
                <w:rFonts w:ascii="仿宋" w:eastAsia="仿宋"/>
                <w:b/>
                <w:sz w:val="22"/>
              </w:rPr>
            </w:pPr>
            <w:r>
              <w:rPr>
                <w:rFonts w:ascii="仿宋" w:eastAsia="仿宋"/>
                <w:b/>
                <w:spacing w:val="-4"/>
                <w:sz w:val="22"/>
              </w:rPr>
              <w:t>预算执行</w:t>
            </w:r>
          </w:p>
        </w:tc>
        <w:tc>
          <w:tcPr>
            <w:tcW w:w="1492" w:type="dxa"/>
          </w:tcPr>
          <w:p>
            <w:pPr>
              <w:pStyle w:val="10"/>
              <w:spacing w:before="32" w:line="275" w:lineRule="exact"/>
              <w:ind w:left="12" w:right="6"/>
              <w:jc w:val="center"/>
              <w:rPr>
                <w:rFonts w:ascii="仿宋" w:eastAsia="仿宋"/>
                <w:b/>
                <w:sz w:val="22"/>
              </w:rPr>
            </w:pPr>
            <w:r>
              <w:rPr>
                <w:rFonts w:ascii="仿宋" w:eastAsia="仿宋"/>
                <w:b/>
                <w:spacing w:val="-2"/>
                <w:sz w:val="22"/>
              </w:rPr>
              <w:t>执行率</w:t>
            </w:r>
            <w:r>
              <w:rPr>
                <w:rFonts w:ascii="仿宋" w:eastAsia="仿宋"/>
                <w:b/>
                <w:spacing w:val="-5"/>
                <w:sz w:val="22"/>
              </w:rPr>
              <w:t>（</w:t>
            </w:r>
            <w:r>
              <w:rPr>
                <w:rFonts w:ascii="Calibri" w:eastAsia="Calibri"/>
                <w:b/>
                <w:spacing w:val="-5"/>
                <w:sz w:val="22"/>
              </w:rPr>
              <w:t>%</w:t>
            </w:r>
            <w:r>
              <w:rPr>
                <w:rFonts w:ascii="仿宋" w:eastAsia="仿宋"/>
                <w:b/>
                <w:spacing w:val="-5"/>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hRule="atLeast"/>
        </w:trPr>
        <w:tc>
          <w:tcPr>
            <w:tcW w:w="1721" w:type="dxa"/>
          </w:tcPr>
          <w:p>
            <w:pPr>
              <w:pStyle w:val="10"/>
              <w:spacing w:before="33" w:line="275" w:lineRule="exact"/>
              <w:ind w:right="189"/>
              <w:jc w:val="right"/>
              <w:rPr>
                <w:rFonts w:ascii="仿宋" w:eastAsia="仿宋"/>
                <w:sz w:val="22"/>
              </w:rPr>
            </w:pPr>
            <w:r>
              <w:rPr>
                <w:rFonts w:ascii="仿宋" w:eastAsia="仿宋"/>
                <w:spacing w:val="-4"/>
                <w:sz w:val="22"/>
              </w:rPr>
              <w:t>一、基本支出</w:t>
            </w:r>
          </w:p>
        </w:tc>
        <w:tc>
          <w:tcPr>
            <w:tcW w:w="1371" w:type="dxa"/>
          </w:tcPr>
          <w:p>
            <w:pPr>
              <w:pStyle w:val="10"/>
              <w:spacing w:before="23"/>
              <w:ind w:left="10"/>
              <w:jc w:val="center"/>
              <w:rPr>
                <w:rFonts w:ascii="Calibri"/>
                <w:sz w:val="22"/>
              </w:rPr>
            </w:pPr>
            <w:r>
              <w:rPr>
                <w:rFonts w:ascii="Calibri"/>
                <w:spacing w:val="-2"/>
                <w:sz w:val="22"/>
              </w:rPr>
              <w:t>224430.04</w:t>
            </w:r>
          </w:p>
        </w:tc>
        <w:tc>
          <w:tcPr>
            <w:tcW w:w="1374" w:type="dxa"/>
            <w:tcBorders>
              <w:right w:val="single" w:color="000000" w:sz="8" w:space="0"/>
            </w:tcBorders>
          </w:tcPr>
          <w:p>
            <w:pPr>
              <w:pStyle w:val="10"/>
              <w:spacing w:before="47" w:line="260" w:lineRule="exact"/>
              <w:ind w:left="15"/>
              <w:jc w:val="center"/>
              <w:rPr>
                <w:rFonts w:ascii="Calibri"/>
                <w:sz w:val="22"/>
              </w:rPr>
            </w:pPr>
            <w:r>
              <w:rPr>
                <w:rFonts w:ascii="Calibri"/>
                <w:spacing w:val="-2"/>
                <w:sz w:val="22"/>
              </w:rPr>
              <w:t>113142.77</w:t>
            </w:r>
          </w:p>
        </w:tc>
        <w:tc>
          <w:tcPr>
            <w:tcW w:w="1499" w:type="dxa"/>
            <w:tcBorders>
              <w:left w:val="single" w:color="000000" w:sz="8" w:space="0"/>
            </w:tcBorders>
          </w:tcPr>
          <w:p>
            <w:pPr>
              <w:pStyle w:val="10"/>
              <w:spacing w:before="47" w:line="260" w:lineRule="exact"/>
              <w:ind w:left="5" w:right="2"/>
              <w:jc w:val="center"/>
              <w:rPr>
                <w:rFonts w:ascii="Calibri"/>
                <w:sz w:val="22"/>
              </w:rPr>
            </w:pPr>
            <w:r>
              <w:rPr>
                <w:rFonts w:ascii="Calibri"/>
                <w:spacing w:val="-2"/>
                <w:sz w:val="22"/>
              </w:rPr>
              <w:t>337572.81</w:t>
            </w:r>
          </w:p>
        </w:tc>
        <w:tc>
          <w:tcPr>
            <w:tcW w:w="1500" w:type="dxa"/>
          </w:tcPr>
          <w:p>
            <w:pPr>
              <w:pStyle w:val="10"/>
              <w:spacing w:before="47" w:line="260" w:lineRule="exact"/>
              <w:ind w:left="11" w:right="2"/>
              <w:jc w:val="center"/>
              <w:rPr>
                <w:rFonts w:ascii="Calibri"/>
                <w:sz w:val="22"/>
              </w:rPr>
            </w:pPr>
            <w:r>
              <w:rPr>
                <w:rFonts w:ascii="Calibri"/>
                <w:spacing w:val="-2"/>
                <w:sz w:val="22"/>
              </w:rPr>
              <w:t>337422.89</w:t>
            </w:r>
          </w:p>
        </w:tc>
        <w:tc>
          <w:tcPr>
            <w:tcW w:w="1492" w:type="dxa"/>
          </w:tcPr>
          <w:p>
            <w:pPr>
              <w:pStyle w:val="10"/>
              <w:spacing w:before="47" w:line="260" w:lineRule="exact"/>
              <w:ind w:left="12"/>
              <w:jc w:val="center"/>
              <w:rPr>
                <w:rFonts w:ascii="Calibri"/>
                <w:sz w:val="22"/>
              </w:rPr>
            </w:pPr>
            <w:r>
              <w:rPr>
                <w:rFonts w:ascii="Calibri"/>
                <w:spacing w:val="-2"/>
                <w:sz w:val="22"/>
              </w:rPr>
              <w:t>99.96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1721" w:type="dxa"/>
          </w:tcPr>
          <w:p>
            <w:pPr>
              <w:pStyle w:val="10"/>
              <w:spacing w:before="33" w:line="275" w:lineRule="exact"/>
              <w:ind w:right="187"/>
              <w:jc w:val="right"/>
              <w:rPr>
                <w:rFonts w:ascii="仿宋" w:eastAsia="仿宋"/>
                <w:sz w:val="22"/>
              </w:rPr>
            </w:pPr>
            <w:r>
              <w:rPr>
                <w:rFonts w:ascii="仿宋" w:eastAsia="仿宋"/>
                <w:spacing w:val="-4"/>
                <w:sz w:val="22"/>
              </w:rPr>
              <w:t>人员经费</w:t>
            </w:r>
          </w:p>
        </w:tc>
        <w:tc>
          <w:tcPr>
            <w:tcW w:w="1371" w:type="dxa"/>
          </w:tcPr>
          <w:p>
            <w:pPr>
              <w:pStyle w:val="10"/>
              <w:spacing w:before="21"/>
              <w:ind w:left="10"/>
              <w:jc w:val="center"/>
              <w:rPr>
                <w:rFonts w:ascii="Calibri"/>
                <w:sz w:val="22"/>
              </w:rPr>
            </w:pPr>
            <w:r>
              <w:rPr>
                <w:rFonts w:ascii="Calibri"/>
                <w:spacing w:val="-2"/>
                <w:sz w:val="22"/>
              </w:rPr>
              <w:t>102584.68</w:t>
            </w:r>
          </w:p>
        </w:tc>
        <w:tc>
          <w:tcPr>
            <w:tcW w:w="1374" w:type="dxa"/>
            <w:tcBorders>
              <w:right w:val="single" w:color="000000" w:sz="8" w:space="0"/>
            </w:tcBorders>
          </w:tcPr>
          <w:p>
            <w:pPr>
              <w:pStyle w:val="10"/>
              <w:spacing w:before="48" w:line="260" w:lineRule="exact"/>
              <w:ind w:left="15" w:right="2"/>
              <w:jc w:val="center"/>
              <w:rPr>
                <w:rFonts w:ascii="Calibri"/>
                <w:sz w:val="22"/>
              </w:rPr>
            </w:pPr>
            <w:r>
              <w:rPr>
                <w:rFonts w:ascii="Calibri"/>
                <w:spacing w:val="-2"/>
                <w:sz w:val="22"/>
              </w:rPr>
              <w:t>26286.78</w:t>
            </w:r>
          </w:p>
        </w:tc>
        <w:tc>
          <w:tcPr>
            <w:tcW w:w="1499" w:type="dxa"/>
            <w:tcBorders>
              <w:left w:val="single" w:color="000000" w:sz="8" w:space="0"/>
            </w:tcBorders>
          </w:tcPr>
          <w:p>
            <w:pPr>
              <w:pStyle w:val="10"/>
              <w:spacing w:before="48" w:line="260" w:lineRule="exact"/>
              <w:ind w:left="5" w:right="2"/>
              <w:jc w:val="center"/>
              <w:rPr>
                <w:rFonts w:ascii="Calibri"/>
                <w:sz w:val="22"/>
              </w:rPr>
            </w:pPr>
            <w:r>
              <w:rPr>
                <w:rFonts w:ascii="Calibri"/>
                <w:spacing w:val="-2"/>
                <w:sz w:val="22"/>
              </w:rPr>
              <w:t>128871.46</w:t>
            </w:r>
          </w:p>
        </w:tc>
        <w:tc>
          <w:tcPr>
            <w:tcW w:w="1500" w:type="dxa"/>
          </w:tcPr>
          <w:p>
            <w:pPr>
              <w:pStyle w:val="10"/>
              <w:spacing w:before="48" w:line="260" w:lineRule="exact"/>
              <w:ind w:left="11" w:right="2"/>
              <w:jc w:val="center"/>
              <w:rPr>
                <w:rFonts w:ascii="Calibri"/>
                <w:sz w:val="22"/>
              </w:rPr>
            </w:pPr>
            <w:r>
              <w:rPr>
                <w:rFonts w:ascii="Calibri"/>
                <w:spacing w:val="-2"/>
                <w:sz w:val="22"/>
              </w:rPr>
              <w:t>128816.07</w:t>
            </w:r>
          </w:p>
        </w:tc>
        <w:tc>
          <w:tcPr>
            <w:tcW w:w="1492" w:type="dxa"/>
          </w:tcPr>
          <w:p>
            <w:pPr>
              <w:pStyle w:val="10"/>
              <w:spacing w:before="48" w:line="260" w:lineRule="exact"/>
              <w:ind w:left="12" w:right="3"/>
              <w:jc w:val="center"/>
              <w:rPr>
                <w:rFonts w:ascii="Calibri"/>
                <w:sz w:val="22"/>
              </w:rPr>
            </w:pPr>
            <w:r>
              <w:rPr>
                <w:rFonts w:ascii="Calibri"/>
                <w:spacing w:val="-4"/>
                <w:sz w:val="22"/>
              </w:rPr>
              <w:t>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1721" w:type="dxa"/>
          </w:tcPr>
          <w:p>
            <w:pPr>
              <w:pStyle w:val="10"/>
              <w:spacing w:before="34" w:line="274" w:lineRule="exact"/>
              <w:ind w:left="419"/>
              <w:rPr>
                <w:rFonts w:ascii="仿宋" w:eastAsia="仿宋"/>
                <w:sz w:val="22"/>
              </w:rPr>
            </w:pPr>
            <w:r>
              <w:rPr>
                <w:rFonts w:ascii="仿宋" w:eastAsia="仿宋"/>
                <w:spacing w:val="-4"/>
                <w:sz w:val="22"/>
              </w:rPr>
              <w:t>公用经费</w:t>
            </w:r>
          </w:p>
        </w:tc>
        <w:tc>
          <w:tcPr>
            <w:tcW w:w="1371" w:type="dxa"/>
          </w:tcPr>
          <w:p>
            <w:pPr>
              <w:pStyle w:val="10"/>
              <w:spacing w:before="22"/>
              <w:ind w:left="10"/>
              <w:jc w:val="center"/>
              <w:rPr>
                <w:rFonts w:ascii="Calibri"/>
                <w:sz w:val="22"/>
              </w:rPr>
            </w:pPr>
            <w:r>
              <w:rPr>
                <w:rFonts w:ascii="Calibri"/>
                <w:spacing w:val="-2"/>
                <w:sz w:val="22"/>
              </w:rPr>
              <w:t>121845.36</w:t>
            </w:r>
          </w:p>
        </w:tc>
        <w:tc>
          <w:tcPr>
            <w:tcW w:w="1374" w:type="dxa"/>
            <w:tcBorders>
              <w:right w:val="single" w:color="000000" w:sz="8" w:space="0"/>
            </w:tcBorders>
          </w:tcPr>
          <w:p>
            <w:pPr>
              <w:pStyle w:val="10"/>
              <w:spacing w:before="48" w:line="259" w:lineRule="exact"/>
              <w:ind w:left="15" w:right="2"/>
              <w:jc w:val="center"/>
              <w:rPr>
                <w:rFonts w:ascii="Calibri"/>
                <w:sz w:val="22"/>
              </w:rPr>
            </w:pPr>
            <w:r>
              <w:rPr>
                <w:rFonts w:ascii="Calibri"/>
                <w:spacing w:val="-2"/>
                <w:sz w:val="22"/>
              </w:rPr>
              <w:t>86855.99</w:t>
            </w:r>
          </w:p>
        </w:tc>
        <w:tc>
          <w:tcPr>
            <w:tcW w:w="1499" w:type="dxa"/>
            <w:tcBorders>
              <w:left w:val="single" w:color="000000" w:sz="8" w:space="0"/>
            </w:tcBorders>
          </w:tcPr>
          <w:p>
            <w:pPr>
              <w:pStyle w:val="10"/>
              <w:spacing w:before="48" w:line="259" w:lineRule="exact"/>
              <w:ind w:left="5" w:right="2"/>
              <w:jc w:val="center"/>
              <w:rPr>
                <w:rFonts w:ascii="Calibri"/>
                <w:sz w:val="22"/>
              </w:rPr>
            </w:pPr>
            <w:r>
              <w:rPr>
                <w:rFonts w:ascii="Calibri"/>
                <w:spacing w:val="-2"/>
                <w:sz w:val="22"/>
              </w:rPr>
              <w:t>208701.35</w:t>
            </w:r>
          </w:p>
        </w:tc>
        <w:tc>
          <w:tcPr>
            <w:tcW w:w="1500" w:type="dxa"/>
          </w:tcPr>
          <w:p>
            <w:pPr>
              <w:pStyle w:val="10"/>
              <w:spacing w:before="48" w:line="259" w:lineRule="exact"/>
              <w:ind w:left="11" w:right="2"/>
              <w:jc w:val="center"/>
              <w:rPr>
                <w:rFonts w:ascii="Calibri"/>
                <w:sz w:val="22"/>
              </w:rPr>
            </w:pPr>
            <w:r>
              <w:rPr>
                <w:rFonts w:ascii="Calibri"/>
                <w:spacing w:val="-2"/>
                <w:sz w:val="22"/>
              </w:rPr>
              <w:t>208626.82</w:t>
            </w:r>
          </w:p>
        </w:tc>
        <w:tc>
          <w:tcPr>
            <w:tcW w:w="1492" w:type="dxa"/>
          </w:tcPr>
          <w:p>
            <w:pPr>
              <w:pStyle w:val="10"/>
              <w:spacing w:before="48" w:line="259" w:lineRule="exact"/>
              <w:ind w:left="12" w:right="3"/>
              <w:jc w:val="center"/>
              <w:rPr>
                <w:rFonts w:ascii="Calibri"/>
                <w:sz w:val="22"/>
              </w:rPr>
            </w:pPr>
            <w:r>
              <w:rPr>
                <w:rFonts w:ascii="Calibri"/>
                <w:spacing w:val="-4"/>
                <w:sz w:val="22"/>
              </w:rPr>
              <w:t>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hRule="atLeast"/>
        </w:trPr>
        <w:tc>
          <w:tcPr>
            <w:tcW w:w="1721" w:type="dxa"/>
          </w:tcPr>
          <w:p>
            <w:pPr>
              <w:pStyle w:val="10"/>
              <w:spacing w:before="32" w:line="276" w:lineRule="exact"/>
              <w:ind w:right="189"/>
              <w:jc w:val="right"/>
              <w:rPr>
                <w:rFonts w:ascii="仿宋" w:eastAsia="仿宋"/>
                <w:sz w:val="22"/>
              </w:rPr>
            </w:pPr>
            <w:r>
              <w:rPr>
                <w:rFonts w:ascii="仿宋" w:eastAsia="仿宋"/>
                <w:spacing w:val="-4"/>
                <w:sz w:val="22"/>
              </w:rPr>
              <w:t>二、项目支出</w:t>
            </w:r>
          </w:p>
        </w:tc>
        <w:tc>
          <w:tcPr>
            <w:tcW w:w="1371" w:type="dxa"/>
          </w:tcPr>
          <w:p>
            <w:pPr>
              <w:pStyle w:val="10"/>
              <w:spacing w:before="22"/>
              <w:ind w:left="10" w:right="3"/>
              <w:jc w:val="center"/>
              <w:rPr>
                <w:rFonts w:ascii="Calibri"/>
                <w:sz w:val="22"/>
              </w:rPr>
            </w:pPr>
            <w:r>
              <w:rPr>
                <w:rFonts w:ascii="Calibri"/>
                <w:spacing w:val="-2"/>
                <w:sz w:val="22"/>
              </w:rPr>
              <w:t>94286.72</w:t>
            </w:r>
          </w:p>
        </w:tc>
        <w:tc>
          <w:tcPr>
            <w:tcW w:w="1374" w:type="dxa"/>
            <w:tcBorders>
              <w:right w:val="single" w:color="000000" w:sz="8" w:space="0"/>
            </w:tcBorders>
          </w:tcPr>
          <w:p>
            <w:pPr>
              <w:pStyle w:val="10"/>
              <w:spacing w:before="46" w:line="261" w:lineRule="exact"/>
              <w:ind w:left="15" w:right="2"/>
              <w:jc w:val="center"/>
              <w:rPr>
                <w:rFonts w:ascii="Calibri"/>
                <w:sz w:val="22"/>
              </w:rPr>
            </w:pPr>
            <w:r>
              <w:rPr>
                <w:rFonts w:ascii="Calibri"/>
                <w:spacing w:val="-2"/>
                <w:sz w:val="22"/>
              </w:rPr>
              <w:t>-63119.74</w:t>
            </w:r>
          </w:p>
        </w:tc>
        <w:tc>
          <w:tcPr>
            <w:tcW w:w="1499" w:type="dxa"/>
            <w:tcBorders>
              <w:left w:val="single" w:color="000000" w:sz="8" w:space="0"/>
            </w:tcBorders>
          </w:tcPr>
          <w:p>
            <w:pPr>
              <w:pStyle w:val="10"/>
              <w:spacing w:before="46" w:line="261" w:lineRule="exact"/>
              <w:ind w:left="5"/>
              <w:jc w:val="center"/>
              <w:rPr>
                <w:rFonts w:ascii="Calibri"/>
                <w:sz w:val="22"/>
              </w:rPr>
            </w:pPr>
            <w:r>
              <w:rPr>
                <w:rFonts w:ascii="Calibri"/>
                <w:spacing w:val="-2"/>
                <w:sz w:val="22"/>
              </w:rPr>
              <w:t>31166.98</w:t>
            </w:r>
          </w:p>
        </w:tc>
        <w:tc>
          <w:tcPr>
            <w:tcW w:w="1500" w:type="dxa"/>
          </w:tcPr>
          <w:p>
            <w:pPr>
              <w:pStyle w:val="10"/>
              <w:spacing w:before="46" w:line="261" w:lineRule="exact"/>
              <w:ind w:left="11" w:right="2"/>
              <w:jc w:val="center"/>
              <w:rPr>
                <w:rFonts w:ascii="Calibri"/>
                <w:sz w:val="22"/>
              </w:rPr>
            </w:pPr>
            <w:r>
              <w:rPr>
                <w:rFonts w:ascii="Calibri"/>
                <w:spacing w:val="-2"/>
                <w:sz w:val="22"/>
              </w:rPr>
              <w:t>29867.3</w:t>
            </w:r>
          </w:p>
        </w:tc>
        <w:tc>
          <w:tcPr>
            <w:tcW w:w="1492" w:type="dxa"/>
          </w:tcPr>
          <w:p>
            <w:pPr>
              <w:pStyle w:val="10"/>
              <w:spacing w:before="22"/>
              <w:ind w:left="12"/>
              <w:jc w:val="center"/>
              <w:rPr>
                <w:rFonts w:ascii="Calibri"/>
                <w:sz w:val="22"/>
              </w:rPr>
            </w:pPr>
            <w:r>
              <w:rPr>
                <w:rFonts w:ascii="Calibri"/>
                <w:spacing w:val="-5"/>
                <w:sz w:val="22"/>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1721" w:type="dxa"/>
          </w:tcPr>
          <w:p>
            <w:pPr>
              <w:pStyle w:val="10"/>
              <w:spacing w:before="32" w:line="276" w:lineRule="exact"/>
              <w:ind w:left="7"/>
              <w:jc w:val="center"/>
              <w:rPr>
                <w:rFonts w:ascii="仿宋" w:eastAsia="仿宋"/>
                <w:b/>
                <w:sz w:val="22"/>
              </w:rPr>
            </w:pPr>
            <w:r>
              <w:rPr>
                <w:rFonts w:ascii="仿宋" w:eastAsia="仿宋"/>
                <w:b/>
                <w:spacing w:val="-6"/>
                <w:sz w:val="22"/>
              </w:rPr>
              <w:t>总计</w:t>
            </w:r>
          </w:p>
        </w:tc>
        <w:tc>
          <w:tcPr>
            <w:tcW w:w="1371" w:type="dxa"/>
          </w:tcPr>
          <w:p>
            <w:pPr>
              <w:pStyle w:val="10"/>
              <w:spacing w:before="47" w:line="261" w:lineRule="exact"/>
              <w:ind w:left="10"/>
              <w:jc w:val="center"/>
              <w:rPr>
                <w:rFonts w:ascii="Calibri"/>
                <w:sz w:val="22"/>
              </w:rPr>
            </w:pPr>
            <w:r>
              <w:rPr>
                <w:rFonts w:ascii="Calibri"/>
                <w:spacing w:val="-2"/>
                <w:sz w:val="22"/>
              </w:rPr>
              <w:t>318716.76</w:t>
            </w:r>
          </w:p>
        </w:tc>
        <w:tc>
          <w:tcPr>
            <w:tcW w:w="1374" w:type="dxa"/>
            <w:tcBorders>
              <w:right w:val="single" w:color="000000" w:sz="8" w:space="0"/>
            </w:tcBorders>
          </w:tcPr>
          <w:p>
            <w:pPr>
              <w:pStyle w:val="10"/>
              <w:spacing w:before="47" w:line="261" w:lineRule="exact"/>
              <w:ind w:left="15"/>
              <w:jc w:val="center"/>
              <w:rPr>
                <w:rFonts w:ascii="Calibri"/>
                <w:b/>
                <w:sz w:val="22"/>
              </w:rPr>
            </w:pPr>
            <w:r>
              <w:rPr>
                <w:rFonts w:ascii="Calibri"/>
                <w:b/>
                <w:spacing w:val="-2"/>
                <w:sz w:val="22"/>
              </w:rPr>
              <w:t>50023.03</w:t>
            </w:r>
          </w:p>
        </w:tc>
        <w:tc>
          <w:tcPr>
            <w:tcW w:w="1499" w:type="dxa"/>
            <w:tcBorders>
              <w:left w:val="single" w:color="000000" w:sz="8" w:space="0"/>
            </w:tcBorders>
          </w:tcPr>
          <w:p>
            <w:pPr>
              <w:pStyle w:val="10"/>
              <w:spacing w:before="23"/>
              <w:ind w:left="5"/>
              <w:jc w:val="center"/>
              <w:rPr>
                <w:rFonts w:ascii="Calibri"/>
                <w:b/>
                <w:sz w:val="22"/>
              </w:rPr>
            </w:pPr>
            <w:r>
              <w:rPr>
                <w:rFonts w:ascii="Calibri"/>
                <w:b/>
                <w:spacing w:val="-2"/>
                <w:sz w:val="22"/>
              </w:rPr>
              <w:t>368739.79</w:t>
            </w:r>
          </w:p>
        </w:tc>
        <w:tc>
          <w:tcPr>
            <w:tcW w:w="1500" w:type="dxa"/>
          </w:tcPr>
          <w:p>
            <w:pPr>
              <w:pStyle w:val="10"/>
              <w:spacing w:before="47" w:line="261" w:lineRule="exact"/>
              <w:ind w:left="11"/>
              <w:jc w:val="center"/>
              <w:rPr>
                <w:rFonts w:ascii="Calibri"/>
                <w:b/>
                <w:sz w:val="22"/>
              </w:rPr>
            </w:pPr>
            <w:r>
              <w:rPr>
                <w:rFonts w:ascii="Calibri"/>
                <w:b/>
                <w:spacing w:val="-2"/>
                <w:sz w:val="22"/>
              </w:rPr>
              <w:t>367310.2</w:t>
            </w:r>
          </w:p>
        </w:tc>
        <w:tc>
          <w:tcPr>
            <w:tcW w:w="1492" w:type="dxa"/>
          </w:tcPr>
          <w:p>
            <w:pPr>
              <w:pStyle w:val="10"/>
              <w:spacing w:before="47" w:line="261" w:lineRule="exact"/>
              <w:ind w:left="12"/>
              <w:jc w:val="center"/>
              <w:rPr>
                <w:rFonts w:ascii="Calibri"/>
                <w:sz w:val="22"/>
              </w:rPr>
            </w:pPr>
            <w:r>
              <w:rPr>
                <w:rFonts w:ascii="Calibri"/>
                <w:spacing w:val="-5"/>
                <w:sz w:val="22"/>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7" w:hRule="atLeast"/>
        </w:trPr>
        <w:tc>
          <w:tcPr>
            <w:tcW w:w="1721" w:type="dxa"/>
          </w:tcPr>
          <w:p>
            <w:pPr>
              <w:pStyle w:val="10"/>
              <w:spacing w:before="32" w:line="285" w:lineRule="exact"/>
              <w:ind w:right="189"/>
              <w:jc w:val="right"/>
              <w:rPr>
                <w:rFonts w:ascii="仿宋" w:eastAsia="仿宋"/>
                <w:sz w:val="22"/>
              </w:rPr>
            </w:pPr>
            <w:r>
              <w:rPr>
                <w:rFonts w:ascii="仿宋" w:eastAsia="仿宋"/>
                <w:spacing w:val="-4"/>
                <w:sz w:val="22"/>
              </w:rPr>
              <w:t>年末结转结余</w:t>
            </w:r>
          </w:p>
        </w:tc>
        <w:tc>
          <w:tcPr>
            <w:tcW w:w="1371" w:type="dxa"/>
          </w:tcPr>
          <w:p>
            <w:pPr>
              <w:pStyle w:val="10"/>
              <w:spacing w:before="47"/>
              <w:ind w:left="10" w:right="3"/>
              <w:jc w:val="center"/>
              <w:rPr>
                <w:rFonts w:ascii="Calibri"/>
                <w:b/>
                <w:sz w:val="22"/>
              </w:rPr>
            </w:pPr>
            <w:r>
              <w:rPr>
                <w:rFonts w:ascii="Calibri"/>
                <w:b/>
                <w:spacing w:val="-10"/>
                <w:sz w:val="22"/>
              </w:rPr>
              <w:t>0</w:t>
            </w:r>
          </w:p>
        </w:tc>
        <w:tc>
          <w:tcPr>
            <w:tcW w:w="1374" w:type="dxa"/>
          </w:tcPr>
          <w:p>
            <w:pPr>
              <w:pStyle w:val="10"/>
              <w:spacing w:before="47"/>
              <w:ind w:left="8"/>
              <w:jc w:val="center"/>
              <w:rPr>
                <w:rFonts w:ascii="Calibri"/>
                <w:b/>
                <w:sz w:val="22"/>
              </w:rPr>
            </w:pPr>
            <w:r>
              <w:rPr>
                <w:rFonts w:ascii="Calibri"/>
                <w:b/>
                <w:spacing w:val="-4"/>
                <w:sz w:val="22"/>
              </w:rPr>
              <w:t>6.94</w:t>
            </w:r>
          </w:p>
        </w:tc>
        <w:tc>
          <w:tcPr>
            <w:tcW w:w="1499" w:type="dxa"/>
          </w:tcPr>
          <w:p>
            <w:pPr>
              <w:pStyle w:val="10"/>
              <w:spacing w:before="47"/>
              <w:ind w:left="10"/>
              <w:jc w:val="center"/>
              <w:rPr>
                <w:rFonts w:ascii="Calibri"/>
                <w:b/>
                <w:sz w:val="22"/>
              </w:rPr>
            </w:pPr>
            <w:r>
              <w:rPr>
                <w:rFonts w:ascii="Calibri"/>
                <w:b/>
                <w:spacing w:val="-10"/>
                <w:sz w:val="22"/>
              </w:rPr>
              <w:t>0</w:t>
            </w:r>
          </w:p>
        </w:tc>
        <w:tc>
          <w:tcPr>
            <w:tcW w:w="1500" w:type="dxa"/>
          </w:tcPr>
          <w:p>
            <w:pPr>
              <w:pStyle w:val="10"/>
              <w:spacing w:before="23"/>
              <w:ind w:left="11"/>
              <w:jc w:val="center"/>
              <w:rPr>
                <w:rFonts w:ascii="Calibri"/>
                <w:sz w:val="22"/>
              </w:rPr>
            </w:pPr>
            <w:r>
              <w:rPr>
                <w:rFonts w:ascii="Calibri"/>
                <w:spacing w:val="-4"/>
                <w:sz w:val="22"/>
              </w:rPr>
              <w:t>6.94</w:t>
            </w:r>
          </w:p>
        </w:tc>
        <w:tc>
          <w:tcPr>
            <w:tcW w:w="1492" w:type="dxa"/>
          </w:tcPr>
          <w:p>
            <w:pPr>
              <w:pStyle w:val="10"/>
              <w:spacing w:before="47"/>
              <w:ind w:left="12" w:right="1"/>
              <w:jc w:val="center"/>
              <w:rPr>
                <w:rFonts w:ascii="Calibri"/>
                <w:b/>
                <w:sz w:val="22"/>
              </w:rPr>
            </w:pPr>
            <w:r>
              <w:rPr>
                <w:rFonts w:ascii="Calibri"/>
                <w:b/>
                <w:spacing w:val="-4"/>
                <w:sz w:val="22"/>
              </w:rPr>
              <w:t>100%</w:t>
            </w:r>
          </w:p>
        </w:tc>
      </w:tr>
    </w:tbl>
    <w:p>
      <w:pPr>
        <w:pStyle w:val="4"/>
        <w:ind w:left="0"/>
        <w:rPr>
          <w:b/>
        </w:rPr>
      </w:pPr>
    </w:p>
    <w:p>
      <w:pPr>
        <w:pStyle w:val="4"/>
        <w:ind w:left="0"/>
        <w:rPr>
          <w:b/>
        </w:rPr>
      </w:pPr>
    </w:p>
    <w:p>
      <w:pPr>
        <w:pStyle w:val="4"/>
        <w:ind w:left="0"/>
        <w:rPr>
          <w:b/>
        </w:rPr>
      </w:pPr>
    </w:p>
    <w:p>
      <w:pPr>
        <w:pStyle w:val="4"/>
        <w:ind w:left="0"/>
        <w:rPr>
          <w:b/>
        </w:rPr>
      </w:pPr>
    </w:p>
    <w:p>
      <w:pPr>
        <w:pStyle w:val="4"/>
        <w:spacing w:before="256"/>
        <w:ind w:left="0"/>
        <w:rPr>
          <w:b/>
        </w:rPr>
      </w:pPr>
    </w:p>
    <w:p>
      <w:pPr>
        <w:pStyle w:val="3"/>
      </w:pPr>
      <w:r>
        <w:rPr>
          <w:spacing w:val="-2"/>
        </w:rPr>
        <w:t>（三）</w:t>
      </w:r>
      <w:r>
        <w:rPr>
          <w:spacing w:val="-3"/>
        </w:rPr>
        <w:t>结余分配和结转结余情况。</w:t>
      </w:r>
    </w:p>
    <w:p>
      <w:pPr>
        <w:pStyle w:val="4"/>
        <w:spacing w:before="285"/>
        <w:ind w:left="853"/>
      </w:pPr>
      <w:r>
        <w:rPr>
          <w:rFonts w:ascii="Times New Roman" w:eastAsia="Times New Roman"/>
        </w:rPr>
        <w:t>2023</w:t>
      </w:r>
      <w:r>
        <w:rPr>
          <w:rFonts w:ascii="Times New Roman" w:eastAsia="Times New Roman"/>
          <w:spacing w:val="42"/>
          <w:w w:val="150"/>
        </w:rPr>
        <w:t xml:space="preserve"> </w:t>
      </w:r>
      <w:r>
        <w:rPr>
          <w:spacing w:val="-1"/>
        </w:rPr>
        <w:t>年度，遂宁市卫生健康委员会决算数资金年末结转和</w:t>
      </w:r>
    </w:p>
    <w:p>
      <w:pPr>
        <w:pStyle w:val="4"/>
        <w:spacing w:before="208"/>
        <w:ind w:left="534"/>
      </w:pPr>
      <w:r>
        <w:rPr>
          <w:spacing w:val="-21"/>
        </w:rPr>
        <w:t xml:space="preserve">结余为 </w:t>
      </w:r>
      <w:r>
        <w:rPr>
          <w:rFonts w:ascii="Times New Roman" w:eastAsia="Times New Roman"/>
        </w:rPr>
        <w:t>6.94</w:t>
      </w:r>
      <w:r>
        <w:rPr>
          <w:rFonts w:ascii="Times New Roman" w:eastAsia="Times New Roman"/>
          <w:spacing w:val="-17"/>
        </w:rPr>
        <w:t xml:space="preserve"> </w:t>
      </w:r>
      <w:r>
        <w:rPr>
          <w:spacing w:val="-4"/>
        </w:rPr>
        <w:t>万元。</w:t>
      </w:r>
    </w:p>
    <w:p>
      <w:pPr>
        <w:pStyle w:val="4"/>
        <w:spacing w:after="0"/>
        <w:sectPr>
          <w:type w:val="continuous"/>
          <w:pgSz w:w="11910" w:h="16840"/>
          <w:pgMar w:top="1500" w:right="1275" w:bottom="900" w:left="1417" w:header="0" w:footer="700" w:gutter="0"/>
          <w:cols w:space="720" w:num="1"/>
        </w:sectPr>
      </w:pPr>
    </w:p>
    <w:p>
      <w:pPr>
        <w:pStyle w:val="4"/>
        <w:spacing w:before="29"/>
        <w:ind w:left="755"/>
        <w:rPr>
          <w:rFonts w:ascii="黑体" w:eastAsia="黑体"/>
        </w:rPr>
      </w:pPr>
      <w:r>
        <w:rPr>
          <w:rFonts w:ascii="黑体" w:eastAsia="黑体"/>
          <w:spacing w:val="-5"/>
        </w:rPr>
        <w:t>三、部门预算绩效分析</w:t>
      </w:r>
    </w:p>
    <w:p>
      <w:pPr>
        <w:pStyle w:val="4"/>
        <w:spacing w:before="117"/>
        <w:ind w:left="755"/>
      </w:pPr>
      <w:r>
        <w:rPr>
          <w:spacing w:val="-4"/>
        </w:rPr>
        <w:t>（一）</w:t>
      </w:r>
      <w:r>
        <w:rPr>
          <w:spacing w:val="-5"/>
        </w:rPr>
        <w:t>部门预算项目绩效管理</w:t>
      </w:r>
    </w:p>
    <w:p>
      <w:pPr>
        <w:pStyle w:val="9"/>
        <w:numPr>
          <w:ilvl w:val="0"/>
          <w:numId w:val="11"/>
        </w:numPr>
        <w:tabs>
          <w:tab w:val="left" w:pos="1073"/>
        </w:tabs>
        <w:spacing w:before="104" w:after="0" w:line="240" w:lineRule="auto"/>
        <w:ind w:left="1073" w:right="0" w:hanging="318"/>
        <w:jc w:val="left"/>
        <w:rPr>
          <w:sz w:val="32"/>
        </w:rPr>
      </w:pPr>
      <w:r>
        <w:rPr>
          <w:spacing w:val="-5"/>
          <w:sz w:val="32"/>
        </w:rPr>
        <w:t>包括部门绩效目标制定。</w:t>
      </w:r>
    </w:p>
    <w:p>
      <w:pPr>
        <w:pStyle w:val="4"/>
        <w:spacing w:before="103"/>
        <w:ind w:left="755"/>
      </w:pPr>
      <w:r>
        <w:t>2023</w:t>
      </w:r>
      <w:r>
        <w:rPr>
          <w:spacing w:val="-4"/>
        </w:rPr>
        <w:t xml:space="preserve"> 年我委对本系统 </w:t>
      </w:r>
      <w:r>
        <w:t>29</w:t>
      </w:r>
      <w:r>
        <w:rPr>
          <w:spacing w:val="-4"/>
        </w:rPr>
        <w:t xml:space="preserve"> 个特定目标类项目编制绩效目标</w:t>
      </w:r>
    </w:p>
    <w:p>
      <w:pPr>
        <w:pStyle w:val="4"/>
        <w:spacing w:before="105"/>
      </w:pPr>
      <w:r>
        <w:rPr>
          <w:spacing w:val="-12"/>
        </w:rPr>
        <w:t xml:space="preserve">表，涉及金额 </w:t>
      </w:r>
      <w:r>
        <w:rPr>
          <w:spacing w:val="-2"/>
        </w:rPr>
        <w:t>2473.3</w:t>
      </w:r>
      <w:r>
        <w:rPr>
          <w:spacing w:val="-11"/>
        </w:rPr>
        <w:t xml:space="preserve"> 万元，重点项目包含：信息化建设及运行</w:t>
      </w:r>
    </w:p>
    <w:p>
      <w:pPr>
        <w:pStyle w:val="4"/>
        <w:spacing w:before="104"/>
      </w:pPr>
      <w:r>
        <w:rPr>
          <w:spacing w:val="-23"/>
        </w:rPr>
        <w:t xml:space="preserve">维护费万元、考试考务工作经费 </w:t>
      </w:r>
      <w:r>
        <w:rPr>
          <w:spacing w:val="-4"/>
        </w:rPr>
        <w:t>80</w:t>
      </w:r>
      <w:r>
        <w:rPr>
          <w:spacing w:val="-31"/>
        </w:rPr>
        <w:t xml:space="preserve"> 万元、辅助管理专项经费 </w:t>
      </w:r>
      <w:r>
        <w:rPr>
          <w:spacing w:val="-4"/>
        </w:rPr>
        <w:t>49.5</w:t>
      </w:r>
    </w:p>
    <w:p>
      <w:pPr>
        <w:pStyle w:val="4"/>
        <w:spacing w:before="103"/>
      </w:pPr>
      <w:r>
        <w:rPr>
          <w:spacing w:val="-24"/>
        </w:rPr>
        <w:t xml:space="preserve">万元、无偿献血工作经费 </w:t>
      </w:r>
      <w:r>
        <w:rPr>
          <w:spacing w:val="-4"/>
        </w:rPr>
        <w:t>813</w:t>
      </w:r>
      <w:r>
        <w:rPr>
          <w:spacing w:val="-27"/>
        </w:rPr>
        <w:t xml:space="preserve"> 万元、血液采集专项经费 </w:t>
      </w:r>
      <w:r>
        <w:rPr>
          <w:spacing w:val="-4"/>
        </w:rPr>
        <w:t>295</w:t>
      </w:r>
      <w:r>
        <w:rPr>
          <w:spacing w:val="-22"/>
        </w:rPr>
        <w:t xml:space="preserve"> 万元、</w:t>
      </w:r>
    </w:p>
    <w:p>
      <w:pPr>
        <w:pStyle w:val="4"/>
        <w:spacing w:before="105" w:line="300" w:lineRule="auto"/>
        <w:ind w:right="254"/>
      </w:pPr>
      <w:r>
        <w:rPr>
          <w:spacing w:val="-8"/>
        </w:rPr>
        <w:t xml:space="preserve">敏免试剂及耗材购置费 </w:t>
      </w:r>
      <w:r>
        <w:t>648.7</w:t>
      </w:r>
      <w:r>
        <w:rPr>
          <w:spacing w:val="-23"/>
        </w:rPr>
        <w:t xml:space="preserve"> 万元等。在 </w:t>
      </w:r>
      <w:r>
        <w:t>2023</w:t>
      </w:r>
      <w:r>
        <w:rPr>
          <w:spacing w:val="-11"/>
        </w:rPr>
        <w:t xml:space="preserve"> 年已在遂宁市人</w:t>
      </w:r>
      <w:r>
        <w:rPr>
          <w:spacing w:val="-2"/>
        </w:rPr>
        <w:t>民政府网站和市卫生健康委官方网站对相关信息进行公开。</w:t>
      </w:r>
    </w:p>
    <w:p>
      <w:pPr>
        <w:pStyle w:val="9"/>
        <w:numPr>
          <w:ilvl w:val="0"/>
          <w:numId w:val="11"/>
        </w:numPr>
        <w:tabs>
          <w:tab w:val="left" w:pos="1073"/>
        </w:tabs>
        <w:spacing w:before="0" w:after="0" w:line="322" w:lineRule="exact"/>
        <w:ind w:left="1073" w:right="0" w:hanging="318"/>
        <w:jc w:val="left"/>
        <w:rPr>
          <w:sz w:val="32"/>
        </w:rPr>
      </w:pPr>
      <w:r>
        <w:rPr>
          <w:spacing w:val="-6"/>
          <w:sz w:val="32"/>
        </w:rPr>
        <w:t>目标实现。</w:t>
      </w:r>
    </w:p>
    <w:p>
      <w:pPr>
        <w:pStyle w:val="4"/>
        <w:spacing w:before="205"/>
        <w:ind w:left="755"/>
      </w:pPr>
      <w:r>
        <w:rPr>
          <w:spacing w:val="-4"/>
        </w:rPr>
        <w:t>2023</w:t>
      </w:r>
      <w:r>
        <w:rPr>
          <w:spacing w:val="-11"/>
        </w:rPr>
        <w:t xml:space="preserve"> 年市卫生健康委员会部门共批复预算人员类经费</w:t>
      </w:r>
    </w:p>
    <w:p>
      <w:pPr>
        <w:pStyle w:val="4"/>
        <w:spacing w:before="208"/>
      </w:pPr>
      <w:r>
        <w:rPr>
          <w:spacing w:val="-2"/>
        </w:rPr>
        <w:t>121675.67</w:t>
      </w:r>
      <w:r>
        <w:rPr>
          <w:spacing w:val="-22"/>
        </w:rPr>
        <w:t xml:space="preserve"> 万元，公用经费 </w:t>
      </w:r>
      <w:r>
        <w:rPr>
          <w:spacing w:val="-2"/>
        </w:rPr>
        <w:t>80317.09</w:t>
      </w:r>
      <w:r>
        <w:rPr>
          <w:spacing w:val="-21"/>
        </w:rPr>
        <w:t xml:space="preserve"> 万元，项目支出 </w:t>
      </w:r>
      <w:r>
        <w:rPr>
          <w:spacing w:val="-2"/>
        </w:rPr>
        <w:t>2413.78</w:t>
      </w:r>
    </w:p>
    <w:p>
      <w:pPr>
        <w:pStyle w:val="4"/>
        <w:spacing w:before="206"/>
      </w:pPr>
      <w:r>
        <w:rPr>
          <w:spacing w:val="-10"/>
        </w:rPr>
        <w:t xml:space="preserve">万元。人员类完成值 </w:t>
      </w:r>
      <w:r>
        <w:rPr>
          <w:spacing w:val="-4"/>
        </w:rPr>
        <w:t>6436.38</w:t>
      </w:r>
      <w:r>
        <w:rPr>
          <w:spacing w:val="-12"/>
        </w:rPr>
        <w:t xml:space="preserve"> 万元,执行率；公用经费完成值</w:t>
      </w:r>
    </w:p>
    <w:p>
      <w:pPr>
        <w:pStyle w:val="4"/>
        <w:spacing w:before="208" w:line="357" w:lineRule="auto"/>
        <w:ind w:right="297"/>
      </w:pPr>
      <w:r>
        <w:rPr>
          <w:spacing w:val="-2"/>
        </w:rPr>
        <w:t>592.47</w:t>
      </w:r>
      <w:r>
        <w:rPr>
          <w:spacing w:val="-14"/>
        </w:rPr>
        <w:t xml:space="preserve">，执行率 </w:t>
      </w:r>
      <w:r>
        <w:rPr>
          <w:spacing w:val="-2"/>
        </w:rPr>
        <w:t>82.63</w:t>
      </w:r>
      <w:r>
        <w:rPr>
          <w:spacing w:val="-7"/>
        </w:rPr>
        <w:t xml:space="preserve">%；部门项目支出完成值 </w:t>
      </w:r>
      <w:r>
        <w:rPr>
          <w:spacing w:val="-2"/>
        </w:rPr>
        <w:t>16996.85，增加</w:t>
      </w:r>
      <w:r>
        <w:rPr>
          <w:spacing w:val="-11"/>
        </w:rPr>
        <w:t xml:space="preserve">完成值 </w:t>
      </w:r>
      <w:r>
        <w:t>14583.07。</w:t>
      </w:r>
    </w:p>
    <w:p>
      <w:pPr>
        <w:pStyle w:val="4"/>
        <w:spacing w:before="109"/>
        <w:ind w:left="275"/>
      </w:pPr>
      <w:r>
        <w:rPr>
          <w:spacing w:val="-28"/>
        </w:rPr>
        <w:t>特定目标类项目目标完成表参考（主要体现数量指标完成情况）：</w:t>
      </w:r>
    </w:p>
    <w:p>
      <w:pPr>
        <w:pStyle w:val="4"/>
        <w:spacing w:after="0"/>
        <w:sectPr>
          <w:pgSz w:w="11910" w:h="16840"/>
          <w:pgMar w:top="1620" w:right="1275" w:bottom="900" w:left="1417" w:header="0" w:footer="700" w:gutter="0"/>
          <w:cols w:space="720" w:num="1"/>
        </w:sectPr>
      </w:pPr>
    </w:p>
    <w:p>
      <w:pPr>
        <w:pStyle w:val="4"/>
        <w:ind w:left="0"/>
        <w:rPr>
          <w:sz w:val="20"/>
        </w:rPr>
      </w:pPr>
    </w:p>
    <w:p>
      <w:pPr>
        <w:pStyle w:val="4"/>
        <w:spacing w:before="36"/>
        <w:ind w:left="0"/>
        <w:rPr>
          <w:sz w:val="20"/>
        </w:rPr>
      </w:pPr>
    </w:p>
    <w:tbl>
      <w:tblPr>
        <w:tblStyle w:val="6"/>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6"/>
        <w:gridCol w:w="1096"/>
        <w:gridCol w:w="6945"/>
        <w:gridCol w:w="1425"/>
        <w:gridCol w:w="930"/>
        <w:gridCol w:w="930"/>
        <w:gridCol w:w="900"/>
        <w:gridCol w:w="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1" w:hRule="atLeast"/>
        </w:trPr>
        <w:tc>
          <w:tcPr>
            <w:tcW w:w="1196" w:type="dxa"/>
          </w:tcPr>
          <w:p>
            <w:pPr>
              <w:pStyle w:val="10"/>
              <w:spacing w:before="190" w:line="276" w:lineRule="auto"/>
              <w:ind w:left="108" w:right="237"/>
              <w:rPr>
                <w:sz w:val="21"/>
              </w:rPr>
            </w:pPr>
            <w:r>
              <w:rPr>
                <w:spacing w:val="-4"/>
                <w:sz w:val="21"/>
              </w:rPr>
              <w:t>机关及下级单位</w:t>
            </w:r>
          </w:p>
        </w:tc>
        <w:tc>
          <w:tcPr>
            <w:tcW w:w="1096" w:type="dxa"/>
          </w:tcPr>
          <w:p>
            <w:pPr>
              <w:pStyle w:val="10"/>
              <w:spacing w:before="72"/>
              <w:rPr>
                <w:sz w:val="21"/>
              </w:rPr>
            </w:pPr>
          </w:p>
          <w:p>
            <w:pPr>
              <w:pStyle w:val="10"/>
              <w:spacing w:before="1"/>
              <w:ind w:left="107"/>
              <w:rPr>
                <w:sz w:val="21"/>
              </w:rPr>
            </w:pPr>
            <w:r>
              <w:rPr>
                <w:spacing w:val="-8"/>
                <w:sz w:val="21"/>
              </w:rPr>
              <w:t>项目</w:t>
            </w:r>
          </w:p>
        </w:tc>
        <w:tc>
          <w:tcPr>
            <w:tcW w:w="6945" w:type="dxa"/>
          </w:tcPr>
          <w:p>
            <w:pPr>
              <w:pStyle w:val="10"/>
              <w:spacing w:before="72"/>
              <w:rPr>
                <w:sz w:val="21"/>
              </w:rPr>
            </w:pPr>
          </w:p>
          <w:p>
            <w:pPr>
              <w:pStyle w:val="10"/>
              <w:spacing w:before="1"/>
              <w:ind w:left="108"/>
              <w:rPr>
                <w:sz w:val="21"/>
              </w:rPr>
            </w:pPr>
            <w:r>
              <w:rPr>
                <w:spacing w:val="-7"/>
                <w:sz w:val="21"/>
              </w:rPr>
              <w:t>绩效目标</w:t>
            </w:r>
          </w:p>
        </w:tc>
        <w:tc>
          <w:tcPr>
            <w:tcW w:w="1425" w:type="dxa"/>
          </w:tcPr>
          <w:p>
            <w:pPr>
              <w:pStyle w:val="10"/>
              <w:spacing w:before="72"/>
              <w:rPr>
                <w:sz w:val="21"/>
              </w:rPr>
            </w:pPr>
          </w:p>
          <w:p>
            <w:pPr>
              <w:pStyle w:val="10"/>
              <w:spacing w:before="1"/>
              <w:ind w:left="106"/>
              <w:rPr>
                <w:sz w:val="21"/>
              </w:rPr>
            </w:pPr>
            <w:r>
              <w:rPr>
                <w:spacing w:val="-7"/>
                <w:sz w:val="21"/>
              </w:rPr>
              <w:t>数量指标</w:t>
            </w:r>
          </w:p>
        </w:tc>
        <w:tc>
          <w:tcPr>
            <w:tcW w:w="930" w:type="dxa"/>
          </w:tcPr>
          <w:p>
            <w:pPr>
              <w:pStyle w:val="10"/>
              <w:spacing w:before="72"/>
              <w:rPr>
                <w:sz w:val="21"/>
              </w:rPr>
            </w:pPr>
          </w:p>
          <w:p>
            <w:pPr>
              <w:pStyle w:val="10"/>
              <w:spacing w:before="1"/>
              <w:ind w:left="11" w:right="85"/>
              <w:jc w:val="center"/>
              <w:rPr>
                <w:sz w:val="21"/>
              </w:rPr>
            </w:pPr>
            <w:r>
              <w:rPr>
                <w:spacing w:val="-5"/>
                <w:sz w:val="21"/>
              </w:rPr>
              <w:t>目标值</w:t>
            </w:r>
          </w:p>
        </w:tc>
        <w:tc>
          <w:tcPr>
            <w:tcW w:w="930" w:type="dxa"/>
          </w:tcPr>
          <w:p>
            <w:pPr>
              <w:pStyle w:val="10"/>
              <w:spacing w:before="72"/>
              <w:rPr>
                <w:sz w:val="21"/>
              </w:rPr>
            </w:pPr>
          </w:p>
          <w:p>
            <w:pPr>
              <w:pStyle w:val="10"/>
              <w:spacing w:before="1"/>
              <w:ind w:left="11" w:right="82"/>
              <w:jc w:val="center"/>
              <w:rPr>
                <w:sz w:val="21"/>
              </w:rPr>
            </w:pPr>
            <w:r>
              <w:rPr>
                <w:spacing w:val="-5"/>
                <w:sz w:val="21"/>
              </w:rPr>
              <w:t>完成值</w:t>
            </w:r>
          </w:p>
        </w:tc>
        <w:tc>
          <w:tcPr>
            <w:tcW w:w="900" w:type="dxa"/>
          </w:tcPr>
          <w:p>
            <w:pPr>
              <w:pStyle w:val="10"/>
              <w:spacing w:before="72"/>
              <w:rPr>
                <w:sz w:val="21"/>
              </w:rPr>
            </w:pPr>
          </w:p>
          <w:p>
            <w:pPr>
              <w:pStyle w:val="10"/>
              <w:spacing w:before="1"/>
              <w:ind w:left="10" w:right="54"/>
              <w:jc w:val="center"/>
              <w:rPr>
                <w:sz w:val="21"/>
              </w:rPr>
            </w:pPr>
            <w:r>
              <w:rPr>
                <w:spacing w:val="-5"/>
                <w:sz w:val="21"/>
              </w:rPr>
              <w:t>完成率</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5" w:hRule="atLeast"/>
        </w:trPr>
        <w:tc>
          <w:tcPr>
            <w:tcW w:w="1196" w:type="dxa"/>
          </w:tcPr>
          <w:p>
            <w:pPr>
              <w:pStyle w:val="10"/>
              <w:spacing w:before="216"/>
              <w:rPr>
                <w:sz w:val="21"/>
              </w:rPr>
            </w:pPr>
          </w:p>
          <w:p>
            <w:pPr>
              <w:pStyle w:val="10"/>
              <w:spacing w:line="278" w:lineRule="auto"/>
              <w:ind w:left="108" w:right="237"/>
              <w:rPr>
                <w:sz w:val="21"/>
              </w:rPr>
            </w:pPr>
            <w:r>
              <w:rPr>
                <w:spacing w:val="-4"/>
                <w:sz w:val="21"/>
              </w:rPr>
              <w:t>市卫生健</w:t>
            </w:r>
            <w:r>
              <w:rPr>
                <w:spacing w:val="-6"/>
                <w:sz w:val="21"/>
              </w:rPr>
              <w:t>康委</w:t>
            </w:r>
          </w:p>
        </w:tc>
        <w:tc>
          <w:tcPr>
            <w:tcW w:w="1096" w:type="dxa"/>
          </w:tcPr>
          <w:p>
            <w:pPr>
              <w:pStyle w:val="10"/>
              <w:spacing w:before="60"/>
              <w:rPr>
                <w:sz w:val="21"/>
              </w:rPr>
            </w:pPr>
          </w:p>
          <w:p>
            <w:pPr>
              <w:pStyle w:val="10"/>
              <w:spacing w:line="276" w:lineRule="auto"/>
              <w:ind w:left="107" w:right="138" w:firstLine="208"/>
              <w:jc w:val="both"/>
              <w:rPr>
                <w:sz w:val="21"/>
              </w:rPr>
            </w:pPr>
            <w:r>
              <w:rPr>
                <w:spacing w:val="-4"/>
                <w:sz w:val="21"/>
              </w:rPr>
              <w:t>信息化建设及运</w:t>
            </w:r>
            <w:r>
              <w:rPr>
                <w:spacing w:val="-7"/>
                <w:sz w:val="21"/>
              </w:rPr>
              <w:t>行维护费</w:t>
            </w:r>
          </w:p>
        </w:tc>
        <w:tc>
          <w:tcPr>
            <w:tcW w:w="6945" w:type="dxa"/>
          </w:tcPr>
          <w:p>
            <w:pPr>
              <w:pStyle w:val="10"/>
              <w:spacing w:before="19"/>
              <w:ind w:right="99"/>
              <w:jc w:val="right"/>
              <w:rPr>
                <w:sz w:val="21"/>
              </w:rPr>
            </w:pPr>
            <w:r>
              <w:rPr>
                <w:spacing w:val="-23"/>
                <w:sz w:val="21"/>
              </w:rPr>
              <w:t xml:space="preserve">在 </w:t>
            </w:r>
            <w:r>
              <w:rPr>
                <w:spacing w:val="-6"/>
                <w:sz w:val="21"/>
              </w:rPr>
              <w:t>2023</w:t>
            </w:r>
            <w:r>
              <w:rPr>
                <w:spacing w:val="-19"/>
                <w:sz w:val="21"/>
              </w:rPr>
              <w:t xml:space="preserve"> 年投入 </w:t>
            </w:r>
            <w:r>
              <w:rPr>
                <w:spacing w:val="-6"/>
                <w:sz w:val="21"/>
              </w:rPr>
              <w:t>44.85</w:t>
            </w:r>
            <w:r>
              <w:rPr>
                <w:spacing w:val="-12"/>
                <w:sz w:val="21"/>
              </w:rPr>
              <w:t xml:space="preserve"> 财政资金通过“三监管”平台，网络安全等平台建</w:t>
            </w:r>
          </w:p>
          <w:p>
            <w:pPr>
              <w:pStyle w:val="10"/>
              <w:spacing w:before="41"/>
              <w:ind w:right="99"/>
              <w:jc w:val="right"/>
              <w:rPr>
                <w:sz w:val="21"/>
              </w:rPr>
            </w:pPr>
            <w:r>
              <w:rPr>
                <w:spacing w:val="-7"/>
                <w:sz w:val="21"/>
              </w:rPr>
              <w:t xml:space="preserve">设与维护的方式开展工作，其中“三监管”平台维护费用 </w:t>
            </w:r>
            <w:r>
              <w:rPr>
                <w:spacing w:val="-6"/>
                <w:sz w:val="21"/>
              </w:rPr>
              <w:t>10</w:t>
            </w:r>
            <w:r>
              <w:rPr>
                <w:spacing w:val="-12"/>
                <w:sz w:val="21"/>
              </w:rPr>
              <w:t xml:space="preserve"> 万一年，网络</w:t>
            </w:r>
          </w:p>
          <w:p>
            <w:pPr>
              <w:pStyle w:val="10"/>
              <w:spacing w:before="42" w:line="276" w:lineRule="auto"/>
              <w:ind w:left="108" w:right="106"/>
              <w:rPr>
                <w:sz w:val="21"/>
              </w:rPr>
            </w:pPr>
            <w:r>
              <w:rPr>
                <w:spacing w:val="-8"/>
                <w:sz w:val="21"/>
              </w:rPr>
              <w:t xml:space="preserve">安全预算金额 </w:t>
            </w:r>
            <w:r>
              <w:rPr>
                <w:spacing w:val="-2"/>
                <w:sz w:val="21"/>
              </w:rPr>
              <w:t>34.85</w:t>
            </w:r>
            <w:r>
              <w:rPr>
                <w:spacing w:val="-11"/>
                <w:sz w:val="21"/>
              </w:rPr>
              <w:t xml:space="preserve"> 万元，</w:t>
            </w:r>
            <w:r>
              <w:rPr>
                <w:spacing w:val="-2"/>
                <w:sz w:val="21"/>
              </w:rPr>
              <w:t>（等级保护测评系统一个，租用市政务云平台安全服务，定期进行安全测试，应急演练，专业技能培训等活动）</w:t>
            </w:r>
            <w:r>
              <w:rPr>
                <w:spacing w:val="-5"/>
                <w:sz w:val="21"/>
              </w:rPr>
              <w:t>实现市</w:t>
            </w:r>
          </w:p>
          <w:p>
            <w:pPr>
              <w:pStyle w:val="10"/>
              <w:spacing w:before="3"/>
              <w:ind w:left="108"/>
              <w:rPr>
                <w:sz w:val="21"/>
              </w:rPr>
            </w:pPr>
            <w:r>
              <w:rPr>
                <w:spacing w:val="-3"/>
                <w:sz w:val="21"/>
              </w:rPr>
              <w:t>卫健</w:t>
            </w:r>
            <w:r>
              <w:rPr>
                <w:rFonts w:hint="eastAsia"/>
                <w:spacing w:val="-3"/>
                <w:sz w:val="21"/>
                <w:lang w:val="en-US" w:eastAsia="zh-CN"/>
              </w:rPr>
              <w:t>委</w:t>
            </w:r>
            <w:r>
              <w:rPr>
                <w:spacing w:val="-3"/>
                <w:sz w:val="21"/>
              </w:rPr>
              <w:t>信息化建设及运行维护工作。</w:t>
            </w:r>
          </w:p>
        </w:tc>
        <w:tc>
          <w:tcPr>
            <w:tcW w:w="1425" w:type="dxa"/>
          </w:tcPr>
          <w:p>
            <w:pPr>
              <w:pStyle w:val="10"/>
              <w:rPr>
                <w:sz w:val="21"/>
              </w:rPr>
            </w:pPr>
          </w:p>
          <w:p>
            <w:pPr>
              <w:pStyle w:val="10"/>
              <w:spacing w:before="101"/>
              <w:rPr>
                <w:sz w:val="21"/>
              </w:rPr>
            </w:pPr>
          </w:p>
          <w:p>
            <w:pPr>
              <w:pStyle w:val="10"/>
              <w:spacing w:before="1"/>
              <w:ind w:right="257"/>
              <w:jc w:val="right"/>
              <w:rPr>
                <w:sz w:val="21"/>
              </w:rPr>
            </w:pPr>
            <w:r>
              <w:rPr>
                <w:spacing w:val="-7"/>
                <w:sz w:val="21"/>
              </w:rPr>
              <w:t>平台数量</w:t>
            </w:r>
          </w:p>
        </w:tc>
        <w:tc>
          <w:tcPr>
            <w:tcW w:w="930" w:type="dxa"/>
          </w:tcPr>
          <w:p>
            <w:pPr>
              <w:pStyle w:val="10"/>
              <w:rPr>
                <w:sz w:val="21"/>
              </w:rPr>
            </w:pPr>
          </w:p>
          <w:p>
            <w:pPr>
              <w:pStyle w:val="10"/>
              <w:spacing w:before="101"/>
              <w:rPr>
                <w:sz w:val="21"/>
              </w:rPr>
            </w:pPr>
          </w:p>
          <w:p>
            <w:pPr>
              <w:pStyle w:val="10"/>
              <w:spacing w:before="1"/>
              <w:ind w:left="82" w:right="74"/>
              <w:jc w:val="center"/>
              <w:rPr>
                <w:sz w:val="21"/>
              </w:rPr>
            </w:pPr>
            <w:r>
              <w:rPr>
                <w:spacing w:val="-10"/>
                <w:sz w:val="21"/>
              </w:rPr>
              <w:t>2</w:t>
            </w:r>
          </w:p>
        </w:tc>
        <w:tc>
          <w:tcPr>
            <w:tcW w:w="930" w:type="dxa"/>
          </w:tcPr>
          <w:p>
            <w:pPr>
              <w:pStyle w:val="10"/>
              <w:rPr>
                <w:sz w:val="21"/>
              </w:rPr>
            </w:pPr>
          </w:p>
          <w:p>
            <w:pPr>
              <w:pStyle w:val="10"/>
              <w:spacing w:before="101"/>
              <w:rPr>
                <w:sz w:val="21"/>
              </w:rPr>
            </w:pPr>
          </w:p>
          <w:p>
            <w:pPr>
              <w:pStyle w:val="10"/>
              <w:spacing w:before="1"/>
              <w:ind w:left="80" w:right="74"/>
              <w:jc w:val="center"/>
              <w:rPr>
                <w:sz w:val="21"/>
              </w:rPr>
            </w:pPr>
            <w:r>
              <w:rPr>
                <w:spacing w:val="-10"/>
                <w:sz w:val="21"/>
              </w:rPr>
              <w:t>2</w:t>
            </w:r>
          </w:p>
        </w:tc>
        <w:tc>
          <w:tcPr>
            <w:tcW w:w="900" w:type="dxa"/>
          </w:tcPr>
          <w:p>
            <w:pPr>
              <w:pStyle w:val="10"/>
              <w:rPr>
                <w:sz w:val="21"/>
              </w:rPr>
            </w:pPr>
          </w:p>
          <w:p>
            <w:pPr>
              <w:pStyle w:val="10"/>
              <w:spacing w:before="101"/>
              <w:rPr>
                <w:sz w:val="21"/>
              </w:rPr>
            </w:pPr>
          </w:p>
          <w:p>
            <w:pPr>
              <w:pStyle w:val="10"/>
              <w:spacing w:before="1"/>
              <w:ind w:left="54" w:right="44"/>
              <w:jc w:val="center"/>
              <w:rPr>
                <w:sz w:val="21"/>
              </w:rPr>
            </w:pPr>
            <w:r>
              <w:rPr>
                <w:spacing w:val="-4"/>
                <w:sz w:val="21"/>
              </w:rPr>
              <w:t>100%</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6" w:hRule="atLeast"/>
        </w:trPr>
        <w:tc>
          <w:tcPr>
            <w:tcW w:w="1196" w:type="dxa"/>
          </w:tcPr>
          <w:p>
            <w:pPr>
              <w:pStyle w:val="10"/>
              <w:rPr>
                <w:sz w:val="21"/>
              </w:rPr>
            </w:pPr>
          </w:p>
          <w:p>
            <w:pPr>
              <w:pStyle w:val="10"/>
              <w:rPr>
                <w:sz w:val="21"/>
              </w:rPr>
            </w:pPr>
          </w:p>
          <w:p>
            <w:pPr>
              <w:pStyle w:val="10"/>
              <w:spacing w:before="252"/>
              <w:rPr>
                <w:sz w:val="21"/>
              </w:rPr>
            </w:pPr>
          </w:p>
          <w:p>
            <w:pPr>
              <w:pStyle w:val="10"/>
              <w:spacing w:line="276" w:lineRule="auto"/>
              <w:ind w:left="108" w:right="237"/>
              <w:rPr>
                <w:sz w:val="21"/>
              </w:rPr>
            </w:pPr>
            <w:r>
              <w:rPr>
                <w:spacing w:val="-4"/>
                <w:sz w:val="21"/>
              </w:rPr>
              <w:t>市卫生健</w:t>
            </w:r>
            <w:r>
              <w:rPr>
                <w:spacing w:val="-6"/>
                <w:sz w:val="21"/>
              </w:rPr>
              <w:t>康委</w:t>
            </w:r>
          </w:p>
        </w:tc>
        <w:tc>
          <w:tcPr>
            <w:tcW w:w="1096" w:type="dxa"/>
          </w:tcPr>
          <w:p>
            <w:pPr>
              <w:pStyle w:val="10"/>
              <w:rPr>
                <w:sz w:val="21"/>
              </w:rPr>
            </w:pPr>
          </w:p>
          <w:p>
            <w:pPr>
              <w:pStyle w:val="10"/>
              <w:rPr>
                <w:sz w:val="21"/>
              </w:rPr>
            </w:pPr>
          </w:p>
          <w:p>
            <w:pPr>
              <w:pStyle w:val="10"/>
              <w:spacing w:before="94"/>
              <w:rPr>
                <w:sz w:val="21"/>
              </w:rPr>
            </w:pPr>
          </w:p>
          <w:p>
            <w:pPr>
              <w:pStyle w:val="10"/>
              <w:spacing w:line="276" w:lineRule="auto"/>
              <w:ind w:left="107" w:right="138" w:firstLine="208"/>
              <w:jc w:val="both"/>
              <w:rPr>
                <w:sz w:val="21"/>
              </w:rPr>
            </w:pPr>
            <w:r>
              <w:rPr>
                <w:spacing w:val="-4"/>
                <w:sz w:val="21"/>
              </w:rPr>
              <w:t>医改工作重点经</w:t>
            </w:r>
            <w:r>
              <w:rPr>
                <w:spacing w:val="-10"/>
                <w:sz w:val="21"/>
              </w:rPr>
              <w:t>费</w:t>
            </w:r>
          </w:p>
        </w:tc>
        <w:tc>
          <w:tcPr>
            <w:tcW w:w="6945" w:type="dxa"/>
          </w:tcPr>
          <w:p>
            <w:pPr>
              <w:pStyle w:val="10"/>
              <w:rPr>
                <w:sz w:val="21"/>
              </w:rPr>
            </w:pPr>
          </w:p>
          <w:p>
            <w:pPr>
              <w:pStyle w:val="10"/>
              <w:spacing w:before="52"/>
              <w:rPr>
                <w:sz w:val="21"/>
              </w:rPr>
            </w:pPr>
          </w:p>
          <w:p>
            <w:pPr>
              <w:pStyle w:val="10"/>
              <w:spacing w:before="1" w:line="276" w:lineRule="auto"/>
              <w:ind w:left="108" w:right="-15" w:firstLine="208"/>
              <w:rPr>
                <w:sz w:val="21"/>
              </w:rPr>
            </w:pPr>
            <w:r>
              <w:rPr>
                <w:spacing w:val="-20"/>
                <w:sz w:val="21"/>
              </w:rPr>
              <w:t xml:space="preserve">在 </w:t>
            </w:r>
            <w:r>
              <w:rPr>
                <w:sz w:val="21"/>
              </w:rPr>
              <w:t>2023</w:t>
            </w:r>
            <w:r>
              <w:rPr>
                <w:spacing w:val="-11"/>
                <w:sz w:val="21"/>
              </w:rPr>
              <w:t xml:space="preserve"> 年投资财政资金 </w:t>
            </w:r>
            <w:r>
              <w:rPr>
                <w:sz w:val="21"/>
              </w:rPr>
              <w:t>6</w:t>
            </w:r>
            <w:r>
              <w:rPr>
                <w:spacing w:val="-9"/>
                <w:sz w:val="21"/>
              </w:rPr>
              <w:t xml:space="preserve"> 万元，通过聘请专家的方式对全市约 </w:t>
            </w:r>
            <w:r>
              <w:rPr>
                <w:sz w:val="21"/>
              </w:rPr>
              <w:t>59</w:t>
            </w:r>
            <w:r>
              <w:rPr>
                <w:spacing w:val="-14"/>
                <w:sz w:val="21"/>
              </w:rPr>
              <w:t xml:space="preserve"> 个市</w:t>
            </w:r>
            <w:r>
              <w:rPr>
                <w:spacing w:val="-4"/>
                <w:sz w:val="21"/>
              </w:rPr>
              <w:t>级重点专科进行评审工作，期间将发生差旅费，工作经费，专家评审费等、</w:t>
            </w:r>
            <w:r>
              <w:rPr>
                <w:spacing w:val="-18"/>
                <w:sz w:val="21"/>
              </w:rPr>
              <w:t xml:space="preserve">完成 </w:t>
            </w:r>
            <w:r>
              <w:rPr>
                <w:sz w:val="21"/>
              </w:rPr>
              <w:t>2023</w:t>
            </w:r>
            <w:r>
              <w:rPr>
                <w:spacing w:val="-8"/>
                <w:sz w:val="21"/>
              </w:rPr>
              <w:t xml:space="preserve"> 年对我市重点专科能力提升工作，严格执行《遂宁市卫生健康委</w:t>
            </w:r>
          </w:p>
          <w:p>
            <w:pPr>
              <w:pStyle w:val="10"/>
              <w:spacing w:before="1" w:line="278" w:lineRule="auto"/>
              <w:ind w:left="108" w:right="97"/>
              <w:rPr>
                <w:sz w:val="21"/>
              </w:rPr>
            </w:pPr>
            <w:r>
              <w:rPr>
                <w:spacing w:val="-11"/>
                <w:sz w:val="21"/>
              </w:rPr>
              <w:t xml:space="preserve">员会关于开展 </w:t>
            </w:r>
            <w:r>
              <w:rPr>
                <w:spacing w:val="-4"/>
                <w:sz w:val="21"/>
              </w:rPr>
              <w:t>2021</w:t>
            </w:r>
            <w:r>
              <w:rPr>
                <w:spacing w:val="-12"/>
                <w:sz w:val="21"/>
              </w:rPr>
              <w:t xml:space="preserve"> 年度市级医学重点专科</w:t>
            </w:r>
            <w:r>
              <w:rPr>
                <w:spacing w:val="-4"/>
                <w:sz w:val="21"/>
              </w:rPr>
              <w:t>（临床类）申报工作的通知》文</w:t>
            </w:r>
            <w:r>
              <w:rPr>
                <w:spacing w:val="-2"/>
                <w:sz w:val="21"/>
              </w:rPr>
              <w:t>件精神，实现我市医学类重点专科向更好更强的目标发展。</w:t>
            </w:r>
          </w:p>
        </w:tc>
        <w:tc>
          <w:tcPr>
            <w:tcW w:w="1425" w:type="dxa"/>
          </w:tcPr>
          <w:p>
            <w:pPr>
              <w:pStyle w:val="10"/>
              <w:rPr>
                <w:sz w:val="21"/>
              </w:rPr>
            </w:pPr>
          </w:p>
          <w:p>
            <w:pPr>
              <w:pStyle w:val="10"/>
              <w:rPr>
                <w:sz w:val="21"/>
              </w:rPr>
            </w:pPr>
          </w:p>
          <w:p>
            <w:pPr>
              <w:pStyle w:val="10"/>
              <w:rPr>
                <w:sz w:val="21"/>
              </w:rPr>
            </w:pPr>
          </w:p>
          <w:p>
            <w:pPr>
              <w:pStyle w:val="10"/>
              <w:spacing w:before="135"/>
              <w:rPr>
                <w:sz w:val="21"/>
              </w:rPr>
            </w:pPr>
          </w:p>
          <w:p>
            <w:pPr>
              <w:pStyle w:val="10"/>
              <w:ind w:right="257"/>
              <w:jc w:val="right"/>
              <w:rPr>
                <w:sz w:val="21"/>
              </w:rPr>
            </w:pPr>
            <w:r>
              <w:rPr>
                <w:spacing w:val="-7"/>
                <w:sz w:val="21"/>
              </w:rPr>
              <w:t>检查数量</w:t>
            </w:r>
          </w:p>
        </w:tc>
        <w:tc>
          <w:tcPr>
            <w:tcW w:w="930" w:type="dxa"/>
          </w:tcPr>
          <w:p>
            <w:pPr>
              <w:pStyle w:val="10"/>
              <w:rPr>
                <w:sz w:val="21"/>
              </w:rPr>
            </w:pPr>
          </w:p>
          <w:p>
            <w:pPr>
              <w:pStyle w:val="10"/>
              <w:rPr>
                <w:sz w:val="21"/>
              </w:rPr>
            </w:pPr>
          </w:p>
          <w:p>
            <w:pPr>
              <w:pStyle w:val="10"/>
              <w:rPr>
                <w:sz w:val="21"/>
              </w:rPr>
            </w:pPr>
          </w:p>
          <w:p>
            <w:pPr>
              <w:pStyle w:val="10"/>
              <w:spacing w:before="135"/>
              <w:rPr>
                <w:sz w:val="21"/>
              </w:rPr>
            </w:pPr>
          </w:p>
          <w:p>
            <w:pPr>
              <w:pStyle w:val="10"/>
              <w:ind w:left="82" w:right="74"/>
              <w:jc w:val="center"/>
              <w:rPr>
                <w:sz w:val="21"/>
              </w:rPr>
            </w:pPr>
            <w:r>
              <w:rPr>
                <w:spacing w:val="-5"/>
                <w:sz w:val="21"/>
              </w:rPr>
              <w:t>59</w:t>
            </w:r>
          </w:p>
        </w:tc>
        <w:tc>
          <w:tcPr>
            <w:tcW w:w="930" w:type="dxa"/>
          </w:tcPr>
          <w:p>
            <w:pPr>
              <w:pStyle w:val="10"/>
              <w:rPr>
                <w:sz w:val="21"/>
              </w:rPr>
            </w:pPr>
          </w:p>
          <w:p>
            <w:pPr>
              <w:pStyle w:val="10"/>
              <w:rPr>
                <w:sz w:val="21"/>
              </w:rPr>
            </w:pPr>
          </w:p>
          <w:p>
            <w:pPr>
              <w:pStyle w:val="10"/>
              <w:rPr>
                <w:sz w:val="21"/>
              </w:rPr>
            </w:pPr>
          </w:p>
          <w:p>
            <w:pPr>
              <w:pStyle w:val="10"/>
              <w:spacing w:before="135"/>
              <w:rPr>
                <w:sz w:val="21"/>
              </w:rPr>
            </w:pPr>
          </w:p>
          <w:p>
            <w:pPr>
              <w:pStyle w:val="10"/>
              <w:ind w:left="85" w:right="74"/>
              <w:jc w:val="center"/>
              <w:rPr>
                <w:sz w:val="21"/>
              </w:rPr>
            </w:pPr>
            <w:r>
              <w:rPr>
                <w:spacing w:val="-5"/>
                <w:sz w:val="21"/>
              </w:rPr>
              <w:t>59</w:t>
            </w:r>
          </w:p>
        </w:tc>
        <w:tc>
          <w:tcPr>
            <w:tcW w:w="900" w:type="dxa"/>
          </w:tcPr>
          <w:p>
            <w:pPr>
              <w:pStyle w:val="10"/>
              <w:rPr>
                <w:sz w:val="21"/>
              </w:rPr>
            </w:pPr>
          </w:p>
          <w:p>
            <w:pPr>
              <w:pStyle w:val="10"/>
              <w:rPr>
                <w:sz w:val="21"/>
              </w:rPr>
            </w:pPr>
          </w:p>
          <w:p>
            <w:pPr>
              <w:pStyle w:val="10"/>
              <w:rPr>
                <w:sz w:val="21"/>
              </w:rPr>
            </w:pPr>
          </w:p>
          <w:p>
            <w:pPr>
              <w:pStyle w:val="10"/>
              <w:spacing w:before="135"/>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4" w:hRule="atLeast"/>
        </w:trPr>
        <w:tc>
          <w:tcPr>
            <w:tcW w:w="1196" w:type="dxa"/>
          </w:tcPr>
          <w:p>
            <w:pPr>
              <w:pStyle w:val="10"/>
              <w:rPr>
                <w:sz w:val="21"/>
              </w:rPr>
            </w:pPr>
          </w:p>
          <w:p>
            <w:pPr>
              <w:pStyle w:val="10"/>
              <w:rPr>
                <w:sz w:val="21"/>
              </w:rPr>
            </w:pPr>
          </w:p>
          <w:p>
            <w:pPr>
              <w:pStyle w:val="10"/>
              <w:spacing w:before="252"/>
              <w:rPr>
                <w:sz w:val="21"/>
              </w:rPr>
            </w:pPr>
          </w:p>
          <w:p>
            <w:pPr>
              <w:pStyle w:val="10"/>
              <w:spacing w:line="276" w:lineRule="auto"/>
              <w:ind w:left="108" w:right="237"/>
              <w:rPr>
                <w:sz w:val="21"/>
              </w:rPr>
            </w:pPr>
            <w:r>
              <w:rPr>
                <w:spacing w:val="-4"/>
                <w:sz w:val="21"/>
              </w:rPr>
              <w:t>市卫生健</w:t>
            </w:r>
            <w:r>
              <w:rPr>
                <w:spacing w:val="-6"/>
                <w:sz w:val="21"/>
              </w:rPr>
              <w:t>康委</w:t>
            </w:r>
          </w:p>
        </w:tc>
        <w:tc>
          <w:tcPr>
            <w:tcW w:w="1096" w:type="dxa"/>
          </w:tcPr>
          <w:p>
            <w:pPr>
              <w:pStyle w:val="10"/>
              <w:rPr>
                <w:sz w:val="21"/>
              </w:rPr>
            </w:pPr>
          </w:p>
          <w:p>
            <w:pPr>
              <w:pStyle w:val="10"/>
              <w:rPr>
                <w:sz w:val="21"/>
              </w:rPr>
            </w:pPr>
          </w:p>
          <w:p>
            <w:pPr>
              <w:pStyle w:val="10"/>
              <w:rPr>
                <w:sz w:val="21"/>
              </w:rPr>
            </w:pPr>
          </w:p>
          <w:p>
            <w:pPr>
              <w:pStyle w:val="10"/>
              <w:spacing w:before="135"/>
              <w:rPr>
                <w:sz w:val="21"/>
              </w:rPr>
            </w:pPr>
          </w:p>
          <w:p>
            <w:pPr>
              <w:pStyle w:val="10"/>
              <w:ind w:left="107"/>
              <w:rPr>
                <w:sz w:val="21"/>
              </w:rPr>
            </w:pPr>
            <w:r>
              <w:rPr>
                <w:spacing w:val="-7"/>
                <w:sz w:val="21"/>
              </w:rPr>
              <w:t>宣传经费</w:t>
            </w:r>
          </w:p>
        </w:tc>
        <w:tc>
          <w:tcPr>
            <w:tcW w:w="6945" w:type="dxa"/>
          </w:tcPr>
          <w:p>
            <w:pPr>
              <w:pStyle w:val="10"/>
              <w:rPr>
                <w:sz w:val="21"/>
              </w:rPr>
            </w:pPr>
          </w:p>
          <w:p>
            <w:pPr>
              <w:pStyle w:val="10"/>
              <w:spacing w:before="210"/>
              <w:rPr>
                <w:sz w:val="21"/>
              </w:rPr>
            </w:pPr>
          </w:p>
          <w:p>
            <w:pPr>
              <w:pStyle w:val="10"/>
              <w:spacing w:before="1" w:line="276" w:lineRule="auto"/>
              <w:ind w:left="108" w:right="99"/>
              <w:jc w:val="both"/>
              <w:rPr>
                <w:sz w:val="21"/>
              </w:rPr>
            </w:pPr>
            <w:r>
              <w:rPr>
                <w:spacing w:val="-14"/>
                <w:sz w:val="21"/>
              </w:rPr>
              <w:t xml:space="preserve">在 </w:t>
            </w:r>
            <w:r>
              <w:rPr>
                <w:spacing w:val="-10"/>
                <w:sz w:val="21"/>
              </w:rPr>
              <w:t>2023</w:t>
            </w:r>
            <w:r>
              <w:rPr>
                <w:spacing w:val="-13"/>
                <w:sz w:val="21"/>
              </w:rPr>
              <w:t xml:space="preserve"> 年投资财政资金 </w:t>
            </w:r>
            <w:r>
              <w:rPr>
                <w:spacing w:val="-10"/>
                <w:sz w:val="21"/>
              </w:rPr>
              <w:t>20</w:t>
            </w:r>
            <w:r>
              <w:rPr>
                <w:spacing w:val="-13"/>
                <w:sz w:val="21"/>
              </w:rPr>
              <w:t xml:space="preserve"> 万元，媒体合作合计成本 </w:t>
            </w:r>
            <w:r>
              <w:rPr>
                <w:spacing w:val="-10"/>
                <w:sz w:val="21"/>
              </w:rPr>
              <w:t>20</w:t>
            </w:r>
            <w:r>
              <w:rPr>
                <w:spacing w:val="-12"/>
                <w:sz w:val="21"/>
              </w:rPr>
              <w:t xml:space="preserve"> 万：遂宁外宣报道</w:t>
            </w:r>
            <w:r>
              <w:rPr>
                <w:spacing w:val="-2"/>
                <w:sz w:val="21"/>
              </w:rPr>
              <w:t>组中省媒体工作室（微信微博运维、舆情监测）3</w:t>
            </w:r>
            <w:r>
              <w:rPr>
                <w:spacing w:val="-9"/>
                <w:sz w:val="21"/>
              </w:rPr>
              <w:t xml:space="preserve"> 万；华西都市报 </w:t>
            </w:r>
            <w:r>
              <w:rPr>
                <w:spacing w:val="-2"/>
                <w:sz w:val="21"/>
              </w:rPr>
              <w:t>2</w:t>
            </w:r>
            <w:r>
              <w:rPr>
                <w:spacing w:val="-10"/>
                <w:sz w:val="21"/>
              </w:rPr>
              <w:t xml:space="preserve"> 万；</w:t>
            </w:r>
            <w:r>
              <w:rPr>
                <w:spacing w:val="-11"/>
                <w:sz w:val="21"/>
              </w:rPr>
              <w:t xml:space="preserve">遂宁电视台 </w:t>
            </w:r>
            <w:r>
              <w:rPr>
                <w:spacing w:val="-2"/>
                <w:sz w:val="21"/>
              </w:rPr>
              <w:t>5.5</w:t>
            </w:r>
            <w:r>
              <w:rPr>
                <w:spacing w:val="-15"/>
                <w:sz w:val="21"/>
              </w:rPr>
              <w:t xml:space="preserve"> 万；遂宁日报社 </w:t>
            </w:r>
            <w:r>
              <w:rPr>
                <w:spacing w:val="-2"/>
                <w:sz w:val="21"/>
              </w:rPr>
              <w:t>5.5</w:t>
            </w:r>
            <w:r>
              <w:rPr>
                <w:spacing w:val="-17"/>
                <w:sz w:val="21"/>
              </w:rPr>
              <w:t xml:space="preserve"> 万；中国网 </w:t>
            </w:r>
            <w:r>
              <w:rPr>
                <w:spacing w:val="-2"/>
                <w:sz w:val="21"/>
              </w:rPr>
              <w:t>1</w:t>
            </w:r>
            <w:r>
              <w:rPr>
                <w:spacing w:val="-14"/>
                <w:sz w:val="21"/>
              </w:rPr>
              <w:t xml:space="preserve"> 万；四川法制报 </w:t>
            </w:r>
            <w:r>
              <w:rPr>
                <w:spacing w:val="-2"/>
                <w:sz w:val="21"/>
              </w:rPr>
              <w:t>1</w:t>
            </w:r>
            <w:r>
              <w:rPr>
                <w:spacing w:val="-21"/>
                <w:sz w:val="21"/>
              </w:rPr>
              <w:t xml:space="preserve"> 万；</w:t>
            </w:r>
          </w:p>
          <w:p>
            <w:pPr>
              <w:pStyle w:val="10"/>
              <w:spacing w:before="1"/>
              <w:ind w:left="108"/>
              <w:jc w:val="both"/>
              <w:rPr>
                <w:sz w:val="21"/>
              </w:rPr>
            </w:pPr>
            <w:r>
              <w:rPr>
                <w:spacing w:val="-2"/>
                <w:sz w:val="21"/>
              </w:rPr>
              <w:t>《</w:t>
            </w:r>
            <w:r>
              <w:rPr>
                <w:rFonts w:hint="eastAsia"/>
                <w:spacing w:val="-2"/>
                <w:sz w:val="21"/>
                <w:lang w:eastAsia="zh-CN"/>
              </w:rPr>
              <w:t>民主</w:t>
            </w:r>
            <w:r>
              <w:rPr>
                <w:spacing w:val="-2"/>
                <w:sz w:val="21"/>
              </w:rPr>
              <w:t>与法制》1</w:t>
            </w:r>
            <w:r>
              <w:rPr>
                <w:spacing w:val="-10"/>
                <w:sz w:val="21"/>
              </w:rPr>
              <w:t xml:space="preserve"> 万；《国际在线》</w:t>
            </w:r>
            <w:r>
              <w:rPr>
                <w:spacing w:val="-2"/>
                <w:sz w:val="21"/>
              </w:rPr>
              <w:t>1</w:t>
            </w:r>
            <w:r>
              <w:rPr>
                <w:spacing w:val="-22"/>
                <w:sz w:val="21"/>
              </w:rPr>
              <w:t xml:space="preserve"> 万。</w:t>
            </w:r>
          </w:p>
        </w:tc>
        <w:tc>
          <w:tcPr>
            <w:tcW w:w="1425" w:type="dxa"/>
          </w:tcPr>
          <w:p>
            <w:pPr>
              <w:pStyle w:val="10"/>
              <w:rPr>
                <w:sz w:val="21"/>
              </w:rPr>
            </w:pPr>
          </w:p>
          <w:p>
            <w:pPr>
              <w:pStyle w:val="10"/>
              <w:rPr>
                <w:sz w:val="21"/>
              </w:rPr>
            </w:pPr>
          </w:p>
          <w:p>
            <w:pPr>
              <w:pStyle w:val="10"/>
              <w:spacing w:before="252"/>
              <w:rPr>
                <w:sz w:val="21"/>
              </w:rPr>
            </w:pPr>
          </w:p>
          <w:p>
            <w:pPr>
              <w:pStyle w:val="10"/>
              <w:spacing w:line="276" w:lineRule="auto"/>
              <w:ind w:left="106" w:right="257"/>
              <w:rPr>
                <w:sz w:val="21"/>
              </w:rPr>
            </w:pPr>
            <w:r>
              <w:rPr>
                <w:spacing w:val="-2"/>
                <w:sz w:val="21"/>
              </w:rPr>
              <w:t>合作媒体个</w:t>
            </w:r>
            <w:r>
              <w:rPr>
                <w:spacing w:val="-10"/>
                <w:sz w:val="21"/>
              </w:rPr>
              <w:t>数</w:t>
            </w:r>
          </w:p>
        </w:tc>
        <w:tc>
          <w:tcPr>
            <w:tcW w:w="930" w:type="dxa"/>
          </w:tcPr>
          <w:p>
            <w:pPr>
              <w:pStyle w:val="10"/>
              <w:rPr>
                <w:sz w:val="21"/>
              </w:rPr>
            </w:pPr>
          </w:p>
          <w:p>
            <w:pPr>
              <w:pStyle w:val="10"/>
              <w:rPr>
                <w:sz w:val="21"/>
              </w:rPr>
            </w:pPr>
          </w:p>
          <w:p>
            <w:pPr>
              <w:pStyle w:val="10"/>
              <w:rPr>
                <w:sz w:val="21"/>
              </w:rPr>
            </w:pPr>
          </w:p>
          <w:p>
            <w:pPr>
              <w:pStyle w:val="10"/>
              <w:spacing w:before="135"/>
              <w:rPr>
                <w:sz w:val="21"/>
              </w:rPr>
            </w:pPr>
          </w:p>
          <w:p>
            <w:pPr>
              <w:pStyle w:val="10"/>
              <w:ind w:left="82" w:right="74"/>
              <w:jc w:val="center"/>
              <w:rPr>
                <w:sz w:val="21"/>
              </w:rPr>
            </w:pPr>
            <w:r>
              <w:rPr>
                <w:spacing w:val="-10"/>
                <w:sz w:val="21"/>
              </w:rPr>
              <w:t>8</w:t>
            </w:r>
          </w:p>
        </w:tc>
        <w:tc>
          <w:tcPr>
            <w:tcW w:w="930" w:type="dxa"/>
          </w:tcPr>
          <w:p>
            <w:pPr>
              <w:pStyle w:val="10"/>
              <w:rPr>
                <w:sz w:val="21"/>
              </w:rPr>
            </w:pPr>
          </w:p>
          <w:p>
            <w:pPr>
              <w:pStyle w:val="10"/>
              <w:rPr>
                <w:sz w:val="21"/>
              </w:rPr>
            </w:pPr>
          </w:p>
          <w:p>
            <w:pPr>
              <w:pStyle w:val="10"/>
              <w:rPr>
                <w:sz w:val="21"/>
              </w:rPr>
            </w:pPr>
          </w:p>
          <w:p>
            <w:pPr>
              <w:pStyle w:val="10"/>
              <w:spacing w:before="135"/>
              <w:rPr>
                <w:sz w:val="21"/>
              </w:rPr>
            </w:pPr>
          </w:p>
          <w:p>
            <w:pPr>
              <w:pStyle w:val="10"/>
              <w:ind w:left="80" w:right="74"/>
              <w:jc w:val="center"/>
              <w:rPr>
                <w:sz w:val="21"/>
              </w:rPr>
            </w:pPr>
            <w:r>
              <w:rPr>
                <w:spacing w:val="-10"/>
                <w:sz w:val="21"/>
              </w:rPr>
              <w:t>8</w:t>
            </w:r>
          </w:p>
        </w:tc>
        <w:tc>
          <w:tcPr>
            <w:tcW w:w="900" w:type="dxa"/>
          </w:tcPr>
          <w:p>
            <w:pPr>
              <w:pStyle w:val="10"/>
              <w:rPr>
                <w:sz w:val="21"/>
              </w:rPr>
            </w:pPr>
          </w:p>
          <w:p>
            <w:pPr>
              <w:pStyle w:val="10"/>
              <w:rPr>
                <w:sz w:val="21"/>
              </w:rPr>
            </w:pPr>
          </w:p>
          <w:p>
            <w:pPr>
              <w:pStyle w:val="10"/>
              <w:rPr>
                <w:sz w:val="21"/>
              </w:rPr>
            </w:pPr>
          </w:p>
          <w:p>
            <w:pPr>
              <w:pStyle w:val="10"/>
              <w:spacing w:before="135"/>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bl>
    <w:p>
      <w:pPr>
        <w:pStyle w:val="10"/>
        <w:spacing w:after="0"/>
        <w:rPr>
          <w:rFonts w:ascii="Times New Roman"/>
          <w:sz w:val="20"/>
        </w:rPr>
        <w:sectPr>
          <w:footerReference r:id="rId7" w:type="default"/>
          <w:pgSz w:w="16840" w:h="11910" w:orient="landscape"/>
          <w:pgMar w:top="1340" w:right="1559" w:bottom="280" w:left="1559" w:header="0" w:footer="0" w:gutter="0"/>
          <w:cols w:space="720" w:num="1"/>
        </w:sectPr>
      </w:pPr>
    </w:p>
    <w:p>
      <w:pPr>
        <w:pStyle w:val="4"/>
        <w:spacing w:before="4"/>
        <w:ind w:left="0"/>
        <w:rPr>
          <w:sz w:val="14"/>
        </w:rPr>
      </w:pPr>
    </w:p>
    <w:tbl>
      <w:tblPr>
        <w:tblStyle w:val="6"/>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6"/>
        <w:gridCol w:w="1096"/>
        <w:gridCol w:w="6945"/>
        <w:gridCol w:w="1425"/>
        <w:gridCol w:w="930"/>
        <w:gridCol w:w="930"/>
        <w:gridCol w:w="900"/>
        <w:gridCol w:w="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5" w:hRule="atLeast"/>
        </w:trPr>
        <w:tc>
          <w:tcPr>
            <w:tcW w:w="1196" w:type="dxa"/>
          </w:tcPr>
          <w:p>
            <w:pPr>
              <w:pStyle w:val="10"/>
              <w:rPr>
                <w:sz w:val="21"/>
              </w:rPr>
            </w:pPr>
          </w:p>
          <w:p>
            <w:pPr>
              <w:pStyle w:val="10"/>
              <w:rPr>
                <w:sz w:val="21"/>
              </w:rPr>
            </w:pPr>
          </w:p>
          <w:p>
            <w:pPr>
              <w:pStyle w:val="10"/>
              <w:rPr>
                <w:sz w:val="21"/>
              </w:rPr>
            </w:pPr>
          </w:p>
          <w:p>
            <w:pPr>
              <w:pStyle w:val="10"/>
              <w:spacing w:before="27"/>
              <w:rPr>
                <w:sz w:val="21"/>
              </w:rPr>
            </w:pPr>
          </w:p>
          <w:p>
            <w:pPr>
              <w:pStyle w:val="10"/>
              <w:spacing w:line="278" w:lineRule="auto"/>
              <w:ind w:left="108" w:right="237"/>
              <w:rPr>
                <w:sz w:val="21"/>
              </w:rPr>
            </w:pPr>
            <w:r>
              <w:rPr>
                <w:spacing w:val="-4"/>
                <w:sz w:val="21"/>
              </w:rPr>
              <w:t>市卫生健</w:t>
            </w:r>
            <w:r>
              <w:rPr>
                <w:spacing w:val="-6"/>
                <w:sz w:val="21"/>
              </w:rPr>
              <w:t>康委</w:t>
            </w:r>
          </w:p>
        </w:tc>
        <w:tc>
          <w:tcPr>
            <w:tcW w:w="1096" w:type="dxa"/>
          </w:tcPr>
          <w:p>
            <w:pPr>
              <w:pStyle w:val="10"/>
              <w:rPr>
                <w:sz w:val="21"/>
              </w:rPr>
            </w:pPr>
          </w:p>
          <w:p>
            <w:pPr>
              <w:pStyle w:val="10"/>
              <w:rPr>
                <w:sz w:val="21"/>
              </w:rPr>
            </w:pPr>
          </w:p>
          <w:p>
            <w:pPr>
              <w:pStyle w:val="10"/>
              <w:rPr>
                <w:sz w:val="21"/>
              </w:rPr>
            </w:pPr>
          </w:p>
          <w:p>
            <w:pPr>
              <w:pStyle w:val="10"/>
              <w:spacing w:before="27"/>
              <w:rPr>
                <w:sz w:val="21"/>
              </w:rPr>
            </w:pPr>
          </w:p>
          <w:p>
            <w:pPr>
              <w:pStyle w:val="10"/>
              <w:spacing w:line="278" w:lineRule="auto"/>
              <w:ind w:left="107" w:right="138"/>
              <w:rPr>
                <w:sz w:val="21"/>
              </w:rPr>
            </w:pPr>
            <w:r>
              <w:rPr>
                <w:spacing w:val="-4"/>
                <w:sz w:val="21"/>
              </w:rPr>
              <w:t>老龄健康</w:t>
            </w:r>
            <w:r>
              <w:rPr>
                <w:spacing w:val="-7"/>
                <w:sz w:val="21"/>
              </w:rPr>
              <w:t>工作经费</w:t>
            </w:r>
          </w:p>
        </w:tc>
        <w:tc>
          <w:tcPr>
            <w:tcW w:w="6945" w:type="dxa"/>
          </w:tcPr>
          <w:p>
            <w:pPr>
              <w:pStyle w:val="10"/>
              <w:spacing w:before="17"/>
              <w:ind w:left="108"/>
              <w:rPr>
                <w:sz w:val="21"/>
              </w:rPr>
            </w:pPr>
            <w:r>
              <w:rPr>
                <w:spacing w:val="-2"/>
                <w:sz w:val="21"/>
              </w:rPr>
              <w:t>2023</w:t>
            </w:r>
            <w:r>
              <w:rPr>
                <w:spacing w:val="-22"/>
                <w:sz w:val="21"/>
              </w:rPr>
              <w:t xml:space="preserve"> 年投入 </w:t>
            </w:r>
            <w:r>
              <w:rPr>
                <w:spacing w:val="-2"/>
                <w:sz w:val="21"/>
              </w:rPr>
              <w:t>5</w:t>
            </w:r>
            <w:r>
              <w:rPr>
                <w:spacing w:val="-22"/>
                <w:sz w:val="21"/>
              </w:rPr>
              <w:t xml:space="preserve"> 万元资金，分别用于 </w:t>
            </w:r>
            <w:r>
              <w:rPr>
                <w:spacing w:val="-2"/>
                <w:sz w:val="21"/>
              </w:rPr>
              <w:t>1</w:t>
            </w:r>
            <w:r>
              <w:rPr>
                <w:spacing w:val="-3"/>
                <w:sz w:val="21"/>
              </w:rPr>
              <w:t>.开展国家卫健卫统一部署的老年将康</w:t>
            </w:r>
          </w:p>
          <w:p>
            <w:pPr>
              <w:pStyle w:val="10"/>
              <w:spacing w:before="44"/>
              <w:ind w:left="108"/>
              <w:rPr>
                <w:sz w:val="21"/>
              </w:rPr>
            </w:pPr>
            <w:r>
              <w:rPr>
                <w:spacing w:val="-4"/>
                <w:sz w:val="21"/>
              </w:rPr>
              <w:t xml:space="preserve">宣传周活动，印制老年健康宣传手册，预防老年痴呆宣传资料等 </w:t>
            </w:r>
            <w:r>
              <w:rPr>
                <w:spacing w:val="-2"/>
                <w:sz w:val="21"/>
              </w:rPr>
              <w:t>1</w:t>
            </w:r>
            <w:r>
              <w:rPr>
                <w:spacing w:val="-16"/>
                <w:sz w:val="21"/>
              </w:rPr>
              <w:t xml:space="preserve"> 万元，</w:t>
            </w:r>
          </w:p>
          <w:p>
            <w:pPr>
              <w:pStyle w:val="10"/>
              <w:spacing w:before="41"/>
              <w:ind w:left="108"/>
              <w:rPr>
                <w:sz w:val="21"/>
              </w:rPr>
            </w:pPr>
            <w:r>
              <w:rPr>
                <w:spacing w:val="-18"/>
                <w:sz w:val="21"/>
              </w:rPr>
              <w:t xml:space="preserve">开展 </w:t>
            </w:r>
            <w:r>
              <w:rPr>
                <w:spacing w:val="-2"/>
                <w:sz w:val="21"/>
              </w:rPr>
              <w:t>1-2</w:t>
            </w:r>
            <w:r>
              <w:rPr>
                <w:spacing w:val="-12"/>
                <w:sz w:val="21"/>
              </w:rPr>
              <w:t xml:space="preserve"> 场大型宣传活动现场布置经费 </w:t>
            </w:r>
            <w:r>
              <w:rPr>
                <w:spacing w:val="-2"/>
                <w:sz w:val="21"/>
              </w:rPr>
              <w:t>0.5</w:t>
            </w:r>
            <w:r>
              <w:rPr>
                <w:spacing w:val="-18"/>
                <w:sz w:val="21"/>
              </w:rPr>
              <w:t xml:space="preserve"> 万。</w:t>
            </w:r>
            <w:r>
              <w:rPr>
                <w:spacing w:val="-2"/>
                <w:sz w:val="21"/>
              </w:rPr>
              <w:t>2.</w:t>
            </w:r>
            <w:r>
              <w:rPr>
                <w:spacing w:val="-8"/>
                <w:sz w:val="21"/>
              </w:rPr>
              <w:t xml:space="preserve">敬老月活动经费 </w:t>
            </w:r>
            <w:r>
              <w:rPr>
                <w:spacing w:val="-2"/>
                <w:sz w:val="21"/>
              </w:rPr>
              <w:t>3.5</w:t>
            </w:r>
            <w:r>
              <w:rPr>
                <w:spacing w:val="-30"/>
                <w:sz w:val="21"/>
              </w:rPr>
              <w:t xml:space="preserve"> 万</w:t>
            </w:r>
          </w:p>
          <w:p>
            <w:pPr>
              <w:pStyle w:val="10"/>
              <w:spacing w:before="42" w:line="278" w:lineRule="auto"/>
              <w:ind w:left="108" w:right="106"/>
              <w:jc w:val="both"/>
              <w:rPr>
                <w:sz w:val="21"/>
              </w:rPr>
            </w:pPr>
            <w:r>
              <w:rPr>
                <w:spacing w:val="-6"/>
                <w:sz w:val="21"/>
              </w:rPr>
              <w:t xml:space="preserve">元，用于走访慰问高龄贫困及敬老 </w:t>
            </w:r>
            <w:r>
              <w:rPr>
                <w:spacing w:val="-4"/>
                <w:sz w:val="21"/>
              </w:rPr>
              <w:t>100</w:t>
            </w:r>
            <w:r>
              <w:rPr>
                <w:spacing w:val="-11"/>
                <w:sz w:val="21"/>
              </w:rPr>
              <w:t xml:space="preserve"> 人，需要 </w:t>
            </w:r>
            <w:r>
              <w:rPr>
                <w:spacing w:val="-4"/>
                <w:sz w:val="21"/>
              </w:rPr>
              <w:t>1.5</w:t>
            </w:r>
            <w:r>
              <w:rPr>
                <w:spacing w:val="-8"/>
                <w:sz w:val="21"/>
              </w:rPr>
              <w:t xml:space="preserve"> 万元，开展敬老月系</w:t>
            </w:r>
            <w:r>
              <w:rPr>
                <w:spacing w:val="-2"/>
                <w:sz w:val="21"/>
              </w:rPr>
              <w:t>列敬老爱老现场活动，老年文艺表演等活动，舞台，音响，背景，主持等</w:t>
            </w:r>
            <w:r>
              <w:rPr>
                <w:spacing w:val="-9"/>
                <w:sz w:val="21"/>
              </w:rPr>
              <w:t xml:space="preserve">节目费用共计 </w:t>
            </w:r>
            <w:r>
              <w:rPr>
                <w:spacing w:val="-2"/>
                <w:sz w:val="21"/>
              </w:rPr>
              <w:t>1.5</w:t>
            </w:r>
            <w:r>
              <w:rPr>
                <w:spacing w:val="-10"/>
                <w:sz w:val="21"/>
              </w:rPr>
              <w:t xml:space="preserve"> 万。活动效果，增强老年人健康意识，提高老年人健康</w:t>
            </w:r>
          </w:p>
          <w:p>
            <w:pPr>
              <w:pStyle w:val="10"/>
              <w:spacing w:line="269" w:lineRule="exact"/>
              <w:ind w:left="108"/>
              <w:rPr>
                <w:sz w:val="21"/>
              </w:rPr>
            </w:pPr>
            <w:r>
              <w:rPr>
                <w:spacing w:val="-4"/>
                <w:sz w:val="21"/>
              </w:rPr>
              <w:t xml:space="preserve">素养，为老年人提供义诊，健康咨询等活动，惠及 </w:t>
            </w:r>
            <w:r>
              <w:rPr>
                <w:spacing w:val="-2"/>
                <w:sz w:val="21"/>
              </w:rPr>
              <w:t>1</w:t>
            </w:r>
            <w:r>
              <w:rPr>
                <w:spacing w:val="-10"/>
                <w:sz w:val="21"/>
              </w:rPr>
              <w:t xml:space="preserve"> 万老年人，开展应对</w:t>
            </w:r>
          </w:p>
          <w:p>
            <w:pPr>
              <w:pStyle w:val="10"/>
              <w:spacing w:before="4" w:line="310" w:lineRule="atLeast"/>
              <w:ind w:left="108" w:right="106"/>
              <w:rPr>
                <w:sz w:val="21"/>
              </w:rPr>
            </w:pPr>
            <w:r>
              <w:rPr>
                <w:spacing w:val="-2"/>
                <w:sz w:val="21"/>
              </w:rPr>
              <w:t>人口老龄化国庆省情市情教育，体现党委政府对老年人的关爱，开展积极</w:t>
            </w:r>
            <w:r>
              <w:rPr>
                <w:spacing w:val="-3"/>
                <w:sz w:val="21"/>
              </w:rPr>
              <w:t>的老年人活动，宣传积极老龄管和健康老龄化。营造社会敬老爱老氛围。</w:t>
            </w:r>
          </w:p>
        </w:tc>
        <w:tc>
          <w:tcPr>
            <w:tcW w:w="1425" w:type="dxa"/>
          </w:tcPr>
          <w:p>
            <w:pPr>
              <w:pStyle w:val="10"/>
              <w:rPr>
                <w:sz w:val="21"/>
              </w:rPr>
            </w:pPr>
          </w:p>
          <w:p>
            <w:pPr>
              <w:pStyle w:val="10"/>
              <w:rPr>
                <w:sz w:val="21"/>
              </w:rPr>
            </w:pPr>
          </w:p>
          <w:p>
            <w:pPr>
              <w:pStyle w:val="10"/>
              <w:spacing w:before="144"/>
              <w:rPr>
                <w:sz w:val="21"/>
              </w:rPr>
            </w:pPr>
          </w:p>
          <w:p>
            <w:pPr>
              <w:pStyle w:val="10"/>
              <w:spacing w:line="278" w:lineRule="auto"/>
              <w:ind w:left="106" w:right="257"/>
              <w:jc w:val="both"/>
              <w:rPr>
                <w:sz w:val="21"/>
              </w:rPr>
            </w:pPr>
            <w:r>
              <w:rPr>
                <w:spacing w:val="-2"/>
                <w:sz w:val="21"/>
              </w:rPr>
              <w:t>慰问高龄贫困及敬老人</w:t>
            </w:r>
            <w:r>
              <w:rPr>
                <w:spacing w:val="-10"/>
                <w:sz w:val="21"/>
              </w:rPr>
              <w:t>数</w:t>
            </w:r>
          </w:p>
        </w:tc>
        <w:tc>
          <w:tcPr>
            <w:tcW w:w="930" w:type="dxa"/>
          </w:tcPr>
          <w:p>
            <w:pPr>
              <w:pStyle w:val="10"/>
              <w:rPr>
                <w:sz w:val="21"/>
              </w:rPr>
            </w:pPr>
          </w:p>
          <w:p>
            <w:pPr>
              <w:pStyle w:val="10"/>
              <w:rPr>
                <w:sz w:val="21"/>
              </w:rPr>
            </w:pPr>
          </w:p>
          <w:p>
            <w:pPr>
              <w:pStyle w:val="10"/>
              <w:rPr>
                <w:sz w:val="21"/>
              </w:rPr>
            </w:pPr>
          </w:p>
          <w:p>
            <w:pPr>
              <w:pStyle w:val="10"/>
              <w:spacing w:before="185"/>
              <w:rPr>
                <w:sz w:val="21"/>
              </w:rPr>
            </w:pPr>
          </w:p>
          <w:p>
            <w:pPr>
              <w:pStyle w:val="10"/>
              <w:ind w:left="82" w:right="74"/>
              <w:jc w:val="center"/>
              <w:rPr>
                <w:sz w:val="21"/>
              </w:rPr>
            </w:pPr>
            <w:r>
              <w:rPr>
                <w:spacing w:val="-5"/>
                <w:sz w:val="21"/>
              </w:rPr>
              <w:t>100</w:t>
            </w:r>
          </w:p>
        </w:tc>
        <w:tc>
          <w:tcPr>
            <w:tcW w:w="930" w:type="dxa"/>
          </w:tcPr>
          <w:p>
            <w:pPr>
              <w:pStyle w:val="10"/>
              <w:rPr>
                <w:sz w:val="21"/>
              </w:rPr>
            </w:pPr>
          </w:p>
          <w:p>
            <w:pPr>
              <w:pStyle w:val="10"/>
              <w:rPr>
                <w:sz w:val="21"/>
              </w:rPr>
            </w:pPr>
          </w:p>
          <w:p>
            <w:pPr>
              <w:pStyle w:val="10"/>
              <w:rPr>
                <w:sz w:val="21"/>
              </w:rPr>
            </w:pPr>
          </w:p>
          <w:p>
            <w:pPr>
              <w:pStyle w:val="10"/>
              <w:spacing w:before="185"/>
              <w:rPr>
                <w:sz w:val="21"/>
              </w:rPr>
            </w:pPr>
          </w:p>
          <w:p>
            <w:pPr>
              <w:pStyle w:val="10"/>
              <w:ind w:left="85" w:right="74"/>
              <w:jc w:val="center"/>
              <w:rPr>
                <w:sz w:val="21"/>
              </w:rPr>
            </w:pPr>
            <w:r>
              <w:rPr>
                <w:spacing w:val="-5"/>
                <w:sz w:val="21"/>
              </w:rPr>
              <w:t>100</w:t>
            </w:r>
          </w:p>
        </w:tc>
        <w:tc>
          <w:tcPr>
            <w:tcW w:w="900" w:type="dxa"/>
          </w:tcPr>
          <w:p>
            <w:pPr>
              <w:pStyle w:val="10"/>
              <w:rPr>
                <w:sz w:val="21"/>
              </w:rPr>
            </w:pPr>
          </w:p>
          <w:p>
            <w:pPr>
              <w:pStyle w:val="10"/>
              <w:rPr>
                <w:sz w:val="21"/>
              </w:rPr>
            </w:pPr>
          </w:p>
          <w:p>
            <w:pPr>
              <w:pStyle w:val="10"/>
              <w:rPr>
                <w:sz w:val="21"/>
              </w:rPr>
            </w:pPr>
          </w:p>
          <w:p>
            <w:pPr>
              <w:pStyle w:val="10"/>
              <w:spacing w:before="185"/>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05" w:hRule="atLeast"/>
        </w:trPr>
        <w:tc>
          <w:tcPr>
            <w:tcW w:w="1196" w:type="dxa"/>
          </w:tcPr>
          <w:p>
            <w:pPr>
              <w:pStyle w:val="10"/>
              <w:rPr>
                <w:sz w:val="21"/>
              </w:rPr>
            </w:pPr>
          </w:p>
          <w:p>
            <w:pPr>
              <w:pStyle w:val="10"/>
              <w:spacing w:before="260"/>
              <w:rPr>
                <w:sz w:val="21"/>
              </w:rPr>
            </w:pPr>
          </w:p>
          <w:p>
            <w:pPr>
              <w:pStyle w:val="10"/>
              <w:spacing w:line="276" w:lineRule="auto"/>
              <w:ind w:left="108" w:right="237"/>
              <w:rPr>
                <w:sz w:val="21"/>
              </w:rPr>
            </w:pPr>
            <w:r>
              <w:rPr>
                <w:spacing w:val="-4"/>
                <w:sz w:val="21"/>
              </w:rPr>
              <w:t>市卫生健</w:t>
            </w:r>
            <w:r>
              <w:rPr>
                <w:spacing w:val="-6"/>
                <w:sz w:val="21"/>
              </w:rPr>
              <w:t>康委</w:t>
            </w:r>
          </w:p>
        </w:tc>
        <w:tc>
          <w:tcPr>
            <w:tcW w:w="1096" w:type="dxa"/>
          </w:tcPr>
          <w:p>
            <w:pPr>
              <w:pStyle w:val="10"/>
              <w:rPr>
                <w:sz w:val="21"/>
              </w:rPr>
            </w:pPr>
          </w:p>
          <w:p>
            <w:pPr>
              <w:pStyle w:val="10"/>
              <w:spacing w:before="260"/>
              <w:rPr>
                <w:sz w:val="21"/>
              </w:rPr>
            </w:pPr>
          </w:p>
          <w:p>
            <w:pPr>
              <w:pStyle w:val="10"/>
              <w:spacing w:line="276" w:lineRule="auto"/>
              <w:ind w:left="107" w:right="138"/>
              <w:rPr>
                <w:sz w:val="21"/>
              </w:rPr>
            </w:pPr>
            <w:r>
              <w:rPr>
                <w:spacing w:val="-4"/>
                <w:sz w:val="21"/>
              </w:rPr>
              <w:t>考试考务</w:t>
            </w:r>
            <w:r>
              <w:rPr>
                <w:spacing w:val="-7"/>
                <w:sz w:val="21"/>
              </w:rPr>
              <w:t>工作经费</w:t>
            </w:r>
          </w:p>
        </w:tc>
        <w:tc>
          <w:tcPr>
            <w:tcW w:w="6945" w:type="dxa"/>
          </w:tcPr>
          <w:p>
            <w:pPr>
              <w:pStyle w:val="10"/>
              <w:spacing w:before="19"/>
              <w:ind w:left="108"/>
              <w:jc w:val="both"/>
              <w:rPr>
                <w:sz w:val="21"/>
              </w:rPr>
            </w:pPr>
            <w:r>
              <w:rPr>
                <w:spacing w:val="-6"/>
                <w:sz w:val="21"/>
              </w:rPr>
              <w:t>2023</w:t>
            </w:r>
            <w:r>
              <w:rPr>
                <w:spacing w:val="-10"/>
                <w:sz w:val="21"/>
              </w:rPr>
              <w:t xml:space="preserve"> 年在组织医师资格考试、护士执业资格考试、</w:t>
            </w:r>
            <w:r>
              <w:rPr>
                <w:spacing w:val="-6"/>
                <w:sz w:val="21"/>
              </w:rPr>
              <w:t>2023</w:t>
            </w:r>
            <w:r>
              <w:rPr>
                <w:spacing w:val="-10"/>
                <w:sz w:val="21"/>
              </w:rPr>
              <w:t xml:space="preserve"> 年度全国卫生专业</w:t>
            </w:r>
          </w:p>
          <w:p>
            <w:pPr>
              <w:pStyle w:val="10"/>
              <w:spacing w:before="41" w:line="276" w:lineRule="auto"/>
              <w:ind w:left="108" w:right="97"/>
              <w:jc w:val="both"/>
              <w:rPr>
                <w:sz w:val="21"/>
              </w:rPr>
            </w:pPr>
            <w:r>
              <w:rPr>
                <w:spacing w:val="-6"/>
                <w:sz w:val="21"/>
              </w:rPr>
              <w:t xml:space="preserve">技术资格考试预计投入财政资金 </w:t>
            </w:r>
            <w:r>
              <w:rPr>
                <w:spacing w:val="-4"/>
                <w:sz w:val="21"/>
              </w:rPr>
              <w:t>80</w:t>
            </w:r>
            <w:r>
              <w:rPr>
                <w:spacing w:val="-10"/>
                <w:sz w:val="21"/>
              </w:rPr>
              <w:t xml:space="preserve"> 万元，通过组织 </w:t>
            </w:r>
            <w:r>
              <w:rPr>
                <w:spacing w:val="-4"/>
                <w:sz w:val="21"/>
              </w:rPr>
              <w:t>2023</w:t>
            </w:r>
            <w:r>
              <w:rPr>
                <w:spacing w:val="-8"/>
                <w:sz w:val="21"/>
              </w:rPr>
              <w:t xml:space="preserve"> 年全国执业医师</w:t>
            </w:r>
            <w:r>
              <w:rPr>
                <w:spacing w:val="-2"/>
                <w:sz w:val="21"/>
              </w:rPr>
              <w:t>资格考试、2023</w:t>
            </w:r>
            <w:r>
              <w:rPr>
                <w:spacing w:val="-8"/>
                <w:sz w:val="21"/>
              </w:rPr>
              <w:t xml:space="preserve"> 年全国护士执业资格考试和 </w:t>
            </w:r>
            <w:r>
              <w:rPr>
                <w:spacing w:val="-2"/>
                <w:sz w:val="21"/>
              </w:rPr>
              <w:t>2023</w:t>
            </w:r>
            <w:r>
              <w:rPr>
                <w:spacing w:val="-7"/>
                <w:sz w:val="21"/>
              </w:rPr>
              <w:t xml:space="preserve"> 年度全国卫生专业技术</w:t>
            </w:r>
            <w:r>
              <w:rPr>
                <w:spacing w:val="-3"/>
                <w:sz w:val="21"/>
              </w:rPr>
              <w:t xml:space="preserve">资格考试的方式安排资金。其中医师资格考试预算 </w:t>
            </w:r>
            <w:r>
              <w:rPr>
                <w:spacing w:val="-2"/>
                <w:sz w:val="21"/>
              </w:rPr>
              <w:t>29</w:t>
            </w:r>
            <w:r>
              <w:rPr>
                <w:spacing w:val="-8"/>
                <w:sz w:val="21"/>
              </w:rPr>
              <w:t xml:space="preserve"> 万元，</w:t>
            </w:r>
            <w:r>
              <w:rPr>
                <w:spacing w:val="-2"/>
                <w:sz w:val="21"/>
              </w:rPr>
              <w:t>2023</w:t>
            </w:r>
            <w:r>
              <w:rPr>
                <w:spacing w:val="-8"/>
                <w:sz w:val="21"/>
              </w:rPr>
              <w:t xml:space="preserve"> 年度全</w:t>
            </w:r>
            <w:r>
              <w:rPr>
                <w:spacing w:val="-7"/>
                <w:sz w:val="21"/>
              </w:rPr>
              <w:t xml:space="preserve">国护士执业资格考试预算 </w:t>
            </w:r>
            <w:r>
              <w:rPr>
                <w:spacing w:val="-4"/>
                <w:sz w:val="21"/>
              </w:rPr>
              <w:t>16.64</w:t>
            </w:r>
            <w:r>
              <w:rPr>
                <w:spacing w:val="-13"/>
                <w:sz w:val="21"/>
              </w:rPr>
              <w:t xml:space="preserve"> 万元、</w:t>
            </w:r>
            <w:r>
              <w:rPr>
                <w:spacing w:val="-4"/>
                <w:sz w:val="21"/>
              </w:rPr>
              <w:t>2022</w:t>
            </w:r>
            <w:r>
              <w:rPr>
                <w:spacing w:val="-10"/>
                <w:sz w:val="21"/>
              </w:rPr>
              <w:t xml:space="preserve"> 年全国卫生专业技术资格考试</w:t>
            </w:r>
          </w:p>
          <w:p>
            <w:pPr>
              <w:pStyle w:val="10"/>
              <w:spacing w:before="4"/>
              <w:ind w:left="108"/>
              <w:jc w:val="both"/>
              <w:rPr>
                <w:sz w:val="21"/>
              </w:rPr>
            </w:pPr>
            <w:r>
              <w:rPr>
                <w:spacing w:val="-4"/>
                <w:sz w:val="21"/>
              </w:rPr>
              <w:t>34.36</w:t>
            </w:r>
            <w:r>
              <w:rPr>
                <w:spacing w:val="-13"/>
                <w:sz w:val="21"/>
              </w:rPr>
              <w:t xml:space="preserve"> 万元。圆满完成 </w:t>
            </w:r>
            <w:r>
              <w:rPr>
                <w:spacing w:val="-4"/>
                <w:sz w:val="21"/>
              </w:rPr>
              <w:t>2023</w:t>
            </w:r>
            <w:r>
              <w:rPr>
                <w:spacing w:val="-10"/>
                <w:sz w:val="21"/>
              </w:rPr>
              <w:t xml:space="preserve"> 年组织的三场考试。实现为国家评选更多有用</w:t>
            </w:r>
          </w:p>
          <w:p>
            <w:pPr>
              <w:pStyle w:val="10"/>
              <w:spacing w:before="42"/>
              <w:ind w:left="108"/>
              <w:rPr>
                <w:sz w:val="21"/>
              </w:rPr>
            </w:pPr>
            <w:r>
              <w:rPr>
                <w:spacing w:val="-3"/>
                <w:sz w:val="21"/>
              </w:rPr>
              <w:t>的医技、护士、医生人才，加强医疗队伍建设。</w:t>
            </w:r>
          </w:p>
        </w:tc>
        <w:tc>
          <w:tcPr>
            <w:tcW w:w="1425" w:type="dxa"/>
          </w:tcPr>
          <w:p>
            <w:pPr>
              <w:pStyle w:val="10"/>
              <w:rPr>
                <w:sz w:val="21"/>
              </w:rPr>
            </w:pPr>
          </w:p>
          <w:p>
            <w:pPr>
              <w:pStyle w:val="10"/>
              <w:spacing w:before="260"/>
              <w:rPr>
                <w:sz w:val="21"/>
              </w:rPr>
            </w:pPr>
          </w:p>
          <w:p>
            <w:pPr>
              <w:pStyle w:val="10"/>
              <w:spacing w:line="276" w:lineRule="auto"/>
              <w:ind w:left="106" w:right="257"/>
              <w:rPr>
                <w:sz w:val="21"/>
              </w:rPr>
            </w:pPr>
            <w:r>
              <w:rPr>
                <w:spacing w:val="-2"/>
                <w:sz w:val="21"/>
              </w:rPr>
              <w:t>组织考试数</w:t>
            </w:r>
            <w:r>
              <w:rPr>
                <w:spacing w:val="-10"/>
                <w:sz w:val="21"/>
              </w:rPr>
              <w:t>量</w:t>
            </w:r>
          </w:p>
        </w:tc>
        <w:tc>
          <w:tcPr>
            <w:tcW w:w="930" w:type="dxa"/>
          </w:tcPr>
          <w:p>
            <w:pPr>
              <w:pStyle w:val="10"/>
              <w:rPr>
                <w:sz w:val="21"/>
              </w:rPr>
            </w:pPr>
          </w:p>
          <w:p>
            <w:pPr>
              <w:pStyle w:val="10"/>
              <w:rPr>
                <w:sz w:val="21"/>
              </w:rPr>
            </w:pPr>
          </w:p>
          <w:p>
            <w:pPr>
              <w:pStyle w:val="10"/>
              <w:spacing w:before="143"/>
              <w:rPr>
                <w:sz w:val="21"/>
              </w:rPr>
            </w:pPr>
          </w:p>
          <w:p>
            <w:pPr>
              <w:pStyle w:val="10"/>
              <w:ind w:left="82" w:right="74"/>
              <w:jc w:val="center"/>
              <w:rPr>
                <w:sz w:val="21"/>
              </w:rPr>
            </w:pPr>
            <w:r>
              <w:rPr>
                <w:spacing w:val="-10"/>
                <w:sz w:val="21"/>
              </w:rPr>
              <w:t>3</w:t>
            </w:r>
          </w:p>
        </w:tc>
        <w:tc>
          <w:tcPr>
            <w:tcW w:w="930" w:type="dxa"/>
          </w:tcPr>
          <w:p>
            <w:pPr>
              <w:pStyle w:val="10"/>
              <w:rPr>
                <w:sz w:val="21"/>
              </w:rPr>
            </w:pPr>
          </w:p>
          <w:p>
            <w:pPr>
              <w:pStyle w:val="10"/>
              <w:rPr>
                <w:sz w:val="21"/>
              </w:rPr>
            </w:pPr>
          </w:p>
          <w:p>
            <w:pPr>
              <w:pStyle w:val="10"/>
              <w:spacing w:before="143"/>
              <w:rPr>
                <w:sz w:val="21"/>
              </w:rPr>
            </w:pPr>
          </w:p>
          <w:p>
            <w:pPr>
              <w:pStyle w:val="10"/>
              <w:ind w:left="80" w:right="74"/>
              <w:jc w:val="center"/>
              <w:rPr>
                <w:sz w:val="21"/>
              </w:rPr>
            </w:pPr>
            <w:r>
              <w:rPr>
                <w:spacing w:val="-10"/>
                <w:sz w:val="21"/>
              </w:rPr>
              <w:t>3</w:t>
            </w:r>
          </w:p>
        </w:tc>
        <w:tc>
          <w:tcPr>
            <w:tcW w:w="900" w:type="dxa"/>
          </w:tcPr>
          <w:p>
            <w:pPr>
              <w:pStyle w:val="10"/>
              <w:rPr>
                <w:sz w:val="21"/>
              </w:rPr>
            </w:pPr>
          </w:p>
          <w:p>
            <w:pPr>
              <w:pStyle w:val="10"/>
              <w:rPr>
                <w:sz w:val="21"/>
              </w:rPr>
            </w:pPr>
          </w:p>
          <w:p>
            <w:pPr>
              <w:pStyle w:val="10"/>
              <w:spacing w:before="143"/>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2" w:hRule="atLeast"/>
        </w:trPr>
        <w:tc>
          <w:tcPr>
            <w:tcW w:w="1196" w:type="dxa"/>
          </w:tcPr>
          <w:p>
            <w:pPr>
              <w:pStyle w:val="10"/>
              <w:spacing w:before="19"/>
              <w:rPr>
                <w:sz w:val="21"/>
              </w:rPr>
            </w:pPr>
          </w:p>
          <w:p>
            <w:pPr>
              <w:pStyle w:val="10"/>
              <w:spacing w:line="276" w:lineRule="auto"/>
              <w:ind w:left="108" w:right="237"/>
              <w:jc w:val="both"/>
              <w:rPr>
                <w:sz w:val="21"/>
              </w:rPr>
            </w:pPr>
            <w:r>
              <w:rPr>
                <w:spacing w:val="-4"/>
                <w:sz w:val="21"/>
              </w:rPr>
              <w:t>遂宁市计划生育协</w:t>
            </w:r>
            <w:r>
              <w:rPr>
                <w:spacing w:val="-10"/>
                <w:sz w:val="21"/>
              </w:rPr>
              <w:t>会</w:t>
            </w:r>
          </w:p>
        </w:tc>
        <w:tc>
          <w:tcPr>
            <w:tcW w:w="1096" w:type="dxa"/>
          </w:tcPr>
          <w:p>
            <w:pPr>
              <w:pStyle w:val="10"/>
              <w:spacing w:before="19"/>
              <w:rPr>
                <w:sz w:val="21"/>
              </w:rPr>
            </w:pPr>
          </w:p>
          <w:p>
            <w:pPr>
              <w:pStyle w:val="10"/>
              <w:spacing w:line="276" w:lineRule="auto"/>
              <w:ind w:left="107" w:right="138"/>
              <w:jc w:val="both"/>
              <w:rPr>
                <w:sz w:val="21"/>
              </w:rPr>
            </w:pPr>
            <w:r>
              <w:rPr>
                <w:spacing w:val="-4"/>
                <w:sz w:val="21"/>
              </w:rPr>
              <w:t>计生宣传及帮扶经</w:t>
            </w:r>
            <w:r>
              <w:rPr>
                <w:spacing w:val="-10"/>
                <w:sz w:val="21"/>
              </w:rPr>
              <w:t>费</w:t>
            </w:r>
          </w:p>
        </w:tc>
        <w:tc>
          <w:tcPr>
            <w:tcW w:w="6945" w:type="dxa"/>
          </w:tcPr>
          <w:p>
            <w:pPr>
              <w:pStyle w:val="10"/>
              <w:spacing w:before="175"/>
              <w:rPr>
                <w:sz w:val="21"/>
              </w:rPr>
            </w:pPr>
          </w:p>
          <w:p>
            <w:pPr>
              <w:pStyle w:val="10"/>
              <w:spacing w:line="276" w:lineRule="auto"/>
              <w:ind w:left="108" w:right="106"/>
              <w:rPr>
                <w:sz w:val="21"/>
              </w:rPr>
            </w:pPr>
            <w:r>
              <w:rPr>
                <w:spacing w:val="-2"/>
                <w:sz w:val="21"/>
              </w:rPr>
              <w:t>全面落实六项重点任务，强化计生协生育关怀服务品牌建设，引导广大群众适应新时期生育政策，促进人口长期均衡发展与家庭和谐幸福。</w:t>
            </w:r>
          </w:p>
        </w:tc>
        <w:tc>
          <w:tcPr>
            <w:tcW w:w="1425" w:type="dxa"/>
          </w:tcPr>
          <w:p>
            <w:pPr>
              <w:pStyle w:val="10"/>
              <w:spacing w:before="19"/>
              <w:rPr>
                <w:sz w:val="21"/>
              </w:rPr>
            </w:pPr>
          </w:p>
          <w:p>
            <w:pPr>
              <w:pStyle w:val="10"/>
              <w:spacing w:line="276" w:lineRule="auto"/>
              <w:ind w:left="106" w:right="257"/>
              <w:jc w:val="both"/>
              <w:rPr>
                <w:sz w:val="21"/>
              </w:rPr>
            </w:pPr>
            <w:r>
              <w:rPr>
                <w:spacing w:val="-2"/>
                <w:sz w:val="21"/>
              </w:rPr>
              <w:t>幸福工程—救助贫困母</w:t>
            </w:r>
            <w:r>
              <w:rPr>
                <w:spacing w:val="-10"/>
                <w:sz w:val="21"/>
              </w:rPr>
              <w:t>亲</w:t>
            </w:r>
          </w:p>
        </w:tc>
        <w:tc>
          <w:tcPr>
            <w:tcW w:w="930" w:type="dxa"/>
          </w:tcPr>
          <w:p>
            <w:pPr>
              <w:pStyle w:val="10"/>
              <w:spacing w:before="175"/>
              <w:rPr>
                <w:sz w:val="21"/>
              </w:rPr>
            </w:pPr>
          </w:p>
          <w:p>
            <w:pPr>
              <w:pStyle w:val="10"/>
              <w:spacing w:line="276" w:lineRule="auto"/>
              <w:ind w:left="359" w:right="166" w:hanging="185"/>
              <w:rPr>
                <w:sz w:val="21"/>
              </w:rPr>
            </w:pPr>
            <w:r>
              <w:rPr>
                <w:spacing w:val="-2"/>
                <w:sz w:val="21"/>
              </w:rPr>
              <w:t>15</w:t>
            </w:r>
            <w:r>
              <w:rPr>
                <w:spacing w:val="-27"/>
                <w:sz w:val="21"/>
              </w:rPr>
              <w:t xml:space="preserve"> 人</w:t>
            </w:r>
            <w:r>
              <w:rPr>
                <w:spacing w:val="-2"/>
                <w:sz w:val="21"/>
              </w:rPr>
              <w:t>/</w:t>
            </w:r>
            <w:r>
              <w:rPr>
                <w:spacing w:val="-10"/>
                <w:sz w:val="21"/>
              </w:rPr>
              <w:t>户</w:t>
            </w:r>
          </w:p>
        </w:tc>
        <w:tc>
          <w:tcPr>
            <w:tcW w:w="930" w:type="dxa"/>
          </w:tcPr>
          <w:p>
            <w:pPr>
              <w:pStyle w:val="10"/>
              <w:spacing w:before="175"/>
              <w:rPr>
                <w:sz w:val="21"/>
              </w:rPr>
            </w:pPr>
          </w:p>
          <w:p>
            <w:pPr>
              <w:pStyle w:val="10"/>
              <w:spacing w:line="276" w:lineRule="auto"/>
              <w:ind w:left="360" w:right="164" w:hanging="185"/>
              <w:rPr>
                <w:sz w:val="21"/>
              </w:rPr>
            </w:pPr>
            <w:r>
              <w:rPr>
                <w:spacing w:val="-2"/>
                <w:sz w:val="21"/>
              </w:rPr>
              <w:t>15</w:t>
            </w:r>
            <w:r>
              <w:rPr>
                <w:spacing w:val="-29"/>
                <w:sz w:val="21"/>
              </w:rPr>
              <w:t xml:space="preserve"> 人</w:t>
            </w:r>
            <w:r>
              <w:rPr>
                <w:spacing w:val="-2"/>
                <w:sz w:val="21"/>
              </w:rPr>
              <w:t>/</w:t>
            </w:r>
            <w:r>
              <w:rPr>
                <w:spacing w:val="-10"/>
                <w:sz w:val="21"/>
              </w:rPr>
              <w:t>户</w:t>
            </w:r>
          </w:p>
        </w:tc>
        <w:tc>
          <w:tcPr>
            <w:tcW w:w="900" w:type="dxa"/>
          </w:tcPr>
          <w:p>
            <w:pPr>
              <w:pStyle w:val="10"/>
              <w:rPr>
                <w:sz w:val="21"/>
              </w:rPr>
            </w:pPr>
          </w:p>
          <w:p>
            <w:pPr>
              <w:pStyle w:val="10"/>
              <w:spacing w:before="61"/>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18" w:hRule="atLeast"/>
        </w:trPr>
        <w:tc>
          <w:tcPr>
            <w:tcW w:w="1196" w:type="dxa"/>
          </w:tcPr>
          <w:p>
            <w:pPr>
              <w:pStyle w:val="10"/>
              <w:rPr>
                <w:sz w:val="21"/>
              </w:rPr>
            </w:pPr>
          </w:p>
          <w:p>
            <w:pPr>
              <w:pStyle w:val="10"/>
              <w:spacing w:before="46"/>
              <w:rPr>
                <w:sz w:val="21"/>
              </w:rPr>
            </w:pPr>
          </w:p>
          <w:p>
            <w:pPr>
              <w:pStyle w:val="10"/>
              <w:spacing w:line="244" w:lineRule="auto"/>
              <w:ind w:left="178" w:right="168"/>
              <w:jc w:val="center"/>
              <w:rPr>
                <w:sz w:val="21"/>
              </w:rPr>
            </w:pPr>
            <w:r>
              <w:rPr>
                <w:spacing w:val="-4"/>
                <w:sz w:val="21"/>
              </w:rPr>
              <w:t>遂宁市疾病预防中</w:t>
            </w:r>
            <w:r>
              <w:rPr>
                <w:spacing w:val="-10"/>
                <w:sz w:val="21"/>
              </w:rPr>
              <w:t>心</w:t>
            </w:r>
          </w:p>
        </w:tc>
        <w:tc>
          <w:tcPr>
            <w:tcW w:w="1096" w:type="dxa"/>
          </w:tcPr>
          <w:p>
            <w:pPr>
              <w:pStyle w:val="10"/>
              <w:rPr>
                <w:sz w:val="21"/>
              </w:rPr>
            </w:pPr>
          </w:p>
          <w:p>
            <w:pPr>
              <w:pStyle w:val="10"/>
              <w:spacing w:before="185"/>
              <w:rPr>
                <w:sz w:val="21"/>
              </w:rPr>
            </w:pPr>
          </w:p>
          <w:p>
            <w:pPr>
              <w:pStyle w:val="10"/>
              <w:spacing w:line="247" w:lineRule="auto"/>
              <w:ind w:left="107" w:right="97"/>
              <w:rPr>
                <w:sz w:val="21"/>
              </w:rPr>
            </w:pPr>
            <w:r>
              <w:rPr>
                <w:spacing w:val="7"/>
                <w:sz w:val="21"/>
              </w:rPr>
              <w:t>办公设备</w:t>
            </w:r>
            <w:r>
              <w:rPr>
                <w:spacing w:val="-7"/>
                <w:sz w:val="21"/>
              </w:rPr>
              <w:t>购置专项</w:t>
            </w:r>
          </w:p>
        </w:tc>
        <w:tc>
          <w:tcPr>
            <w:tcW w:w="6945" w:type="dxa"/>
          </w:tcPr>
          <w:p>
            <w:pPr>
              <w:pStyle w:val="10"/>
              <w:rPr>
                <w:sz w:val="21"/>
              </w:rPr>
            </w:pPr>
          </w:p>
          <w:p>
            <w:pPr>
              <w:pStyle w:val="10"/>
              <w:rPr>
                <w:sz w:val="21"/>
              </w:rPr>
            </w:pPr>
          </w:p>
          <w:p>
            <w:pPr>
              <w:pStyle w:val="10"/>
              <w:spacing w:before="51"/>
              <w:rPr>
                <w:sz w:val="21"/>
              </w:rPr>
            </w:pPr>
          </w:p>
          <w:p>
            <w:pPr>
              <w:pStyle w:val="10"/>
              <w:ind w:left="108"/>
              <w:rPr>
                <w:sz w:val="21"/>
              </w:rPr>
            </w:pPr>
            <w:r>
              <w:rPr>
                <w:spacing w:val="-3"/>
                <w:sz w:val="21"/>
              </w:rPr>
              <w:t>为提高单位办公效率，保障日常办公正常开展，购置办公设备一批。</w:t>
            </w:r>
          </w:p>
        </w:tc>
        <w:tc>
          <w:tcPr>
            <w:tcW w:w="1425" w:type="dxa"/>
          </w:tcPr>
          <w:p>
            <w:pPr>
              <w:pStyle w:val="10"/>
              <w:rPr>
                <w:sz w:val="21"/>
              </w:rPr>
            </w:pPr>
          </w:p>
          <w:p>
            <w:pPr>
              <w:pStyle w:val="10"/>
              <w:spacing w:before="46"/>
              <w:rPr>
                <w:sz w:val="21"/>
              </w:rPr>
            </w:pPr>
          </w:p>
          <w:p>
            <w:pPr>
              <w:pStyle w:val="10"/>
              <w:spacing w:line="244" w:lineRule="auto"/>
              <w:ind w:left="106" w:right="46"/>
              <w:jc w:val="both"/>
              <w:rPr>
                <w:sz w:val="21"/>
              </w:rPr>
            </w:pPr>
            <w:r>
              <w:rPr>
                <w:spacing w:val="-2"/>
                <w:sz w:val="21"/>
              </w:rPr>
              <w:t>购置一体机、</w:t>
            </w:r>
            <w:r>
              <w:rPr>
                <w:spacing w:val="28"/>
                <w:sz w:val="21"/>
              </w:rPr>
              <w:t>打印机等办</w:t>
            </w:r>
            <w:r>
              <w:rPr>
                <w:spacing w:val="-4"/>
                <w:sz w:val="21"/>
              </w:rPr>
              <w:t>公设备</w:t>
            </w:r>
          </w:p>
        </w:tc>
        <w:tc>
          <w:tcPr>
            <w:tcW w:w="930" w:type="dxa"/>
          </w:tcPr>
          <w:p>
            <w:pPr>
              <w:pStyle w:val="10"/>
              <w:rPr>
                <w:sz w:val="21"/>
              </w:rPr>
            </w:pPr>
          </w:p>
          <w:p>
            <w:pPr>
              <w:pStyle w:val="10"/>
              <w:rPr>
                <w:sz w:val="21"/>
              </w:rPr>
            </w:pPr>
          </w:p>
          <w:p>
            <w:pPr>
              <w:pStyle w:val="10"/>
              <w:spacing w:before="51"/>
              <w:rPr>
                <w:sz w:val="21"/>
              </w:rPr>
            </w:pPr>
          </w:p>
          <w:p>
            <w:pPr>
              <w:pStyle w:val="10"/>
              <w:ind w:left="79" w:right="74"/>
              <w:jc w:val="center"/>
              <w:rPr>
                <w:sz w:val="21"/>
              </w:rPr>
            </w:pPr>
            <w:r>
              <w:rPr>
                <w:spacing w:val="-2"/>
                <w:sz w:val="21"/>
              </w:rPr>
              <w:t>17</w:t>
            </w:r>
            <w:r>
              <w:rPr>
                <w:spacing w:val="-31"/>
                <w:sz w:val="21"/>
              </w:rPr>
              <w:t xml:space="preserve"> 台</w:t>
            </w:r>
          </w:p>
        </w:tc>
        <w:tc>
          <w:tcPr>
            <w:tcW w:w="930" w:type="dxa"/>
          </w:tcPr>
          <w:p>
            <w:pPr>
              <w:pStyle w:val="10"/>
              <w:rPr>
                <w:sz w:val="21"/>
              </w:rPr>
            </w:pPr>
          </w:p>
          <w:p>
            <w:pPr>
              <w:pStyle w:val="10"/>
              <w:rPr>
                <w:sz w:val="21"/>
              </w:rPr>
            </w:pPr>
          </w:p>
          <w:p>
            <w:pPr>
              <w:pStyle w:val="10"/>
              <w:spacing w:before="51"/>
              <w:rPr>
                <w:sz w:val="21"/>
              </w:rPr>
            </w:pPr>
          </w:p>
          <w:p>
            <w:pPr>
              <w:pStyle w:val="10"/>
              <w:ind w:left="81" w:right="74"/>
              <w:jc w:val="center"/>
              <w:rPr>
                <w:sz w:val="21"/>
              </w:rPr>
            </w:pPr>
            <w:r>
              <w:rPr>
                <w:spacing w:val="-2"/>
                <w:sz w:val="21"/>
              </w:rPr>
              <w:t>17</w:t>
            </w:r>
            <w:r>
              <w:rPr>
                <w:spacing w:val="-31"/>
                <w:sz w:val="21"/>
              </w:rPr>
              <w:t xml:space="preserve"> 台</w:t>
            </w:r>
          </w:p>
        </w:tc>
        <w:tc>
          <w:tcPr>
            <w:tcW w:w="900" w:type="dxa"/>
          </w:tcPr>
          <w:p>
            <w:pPr>
              <w:pStyle w:val="10"/>
              <w:rPr>
                <w:sz w:val="21"/>
              </w:rPr>
            </w:pPr>
          </w:p>
          <w:p>
            <w:pPr>
              <w:pStyle w:val="10"/>
              <w:rPr>
                <w:sz w:val="21"/>
              </w:rPr>
            </w:pPr>
          </w:p>
          <w:p>
            <w:pPr>
              <w:pStyle w:val="10"/>
              <w:spacing w:before="51"/>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bl>
    <w:p>
      <w:pPr>
        <w:pStyle w:val="10"/>
        <w:spacing w:after="0"/>
        <w:rPr>
          <w:rFonts w:ascii="Times New Roman"/>
          <w:sz w:val="20"/>
        </w:rPr>
        <w:sectPr>
          <w:footerReference r:id="rId8" w:type="default"/>
          <w:footerReference r:id="rId9" w:type="even"/>
          <w:pgSz w:w="16840" w:h="11910" w:orient="landscape"/>
          <w:pgMar w:top="1340" w:right="1559" w:bottom="1060" w:left="1559" w:header="0" w:footer="864" w:gutter="0"/>
          <w:cols w:space="720" w:num="1"/>
        </w:sectPr>
      </w:pPr>
    </w:p>
    <w:p>
      <w:pPr>
        <w:pStyle w:val="4"/>
        <w:spacing w:before="4"/>
        <w:ind w:left="0"/>
        <w:rPr>
          <w:sz w:val="14"/>
        </w:rPr>
      </w:pPr>
    </w:p>
    <w:tbl>
      <w:tblPr>
        <w:tblStyle w:val="6"/>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6"/>
        <w:gridCol w:w="1096"/>
        <w:gridCol w:w="6945"/>
        <w:gridCol w:w="1425"/>
        <w:gridCol w:w="930"/>
        <w:gridCol w:w="930"/>
        <w:gridCol w:w="900"/>
        <w:gridCol w:w="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0" w:hRule="atLeast"/>
        </w:trPr>
        <w:tc>
          <w:tcPr>
            <w:tcW w:w="1196" w:type="dxa"/>
          </w:tcPr>
          <w:p>
            <w:pPr>
              <w:pStyle w:val="10"/>
              <w:spacing w:before="82"/>
              <w:rPr>
                <w:sz w:val="21"/>
              </w:rPr>
            </w:pPr>
          </w:p>
          <w:p>
            <w:pPr>
              <w:pStyle w:val="10"/>
              <w:spacing w:before="1" w:line="244" w:lineRule="auto"/>
              <w:ind w:left="178" w:right="168"/>
              <w:jc w:val="center"/>
              <w:rPr>
                <w:sz w:val="21"/>
              </w:rPr>
            </w:pPr>
            <w:r>
              <w:rPr>
                <w:spacing w:val="-4"/>
                <w:sz w:val="21"/>
              </w:rPr>
              <w:t>遂宁市疾病预防中</w:t>
            </w:r>
            <w:r>
              <w:rPr>
                <w:spacing w:val="-10"/>
                <w:sz w:val="21"/>
              </w:rPr>
              <w:t>心</w:t>
            </w:r>
          </w:p>
        </w:tc>
        <w:tc>
          <w:tcPr>
            <w:tcW w:w="1096" w:type="dxa"/>
          </w:tcPr>
          <w:p>
            <w:pPr>
              <w:pStyle w:val="10"/>
              <w:spacing w:before="75" w:line="247" w:lineRule="auto"/>
              <w:ind w:left="107" w:right="97"/>
              <w:jc w:val="both"/>
              <w:rPr>
                <w:sz w:val="21"/>
              </w:rPr>
            </w:pPr>
            <w:r>
              <w:rPr>
                <w:spacing w:val="-1"/>
                <w:sz w:val="21"/>
              </w:rPr>
              <w:t>卫 生 监</w:t>
            </w:r>
            <w:r>
              <w:rPr>
                <w:spacing w:val="7"/>
                <w:sz w:val="21"/>
              </w:rPr>
              <w:t>测、从业人员健康体检运行</w:t>
            </w:r>
            <w:r>
              <w:rPr>
                <w:spacing w:val="-4"/>
                <w:sz w:val="21"/>
              </w:rPr>
              <w:t>成本费</w:t>
            </w:r>
          </w:p>
        </w:tc>
        <w:tc>
          <w:tcPr>
            <w:tcW w:w="6945" w:type="dxa"/>
          </w:tcPr>
          <w:p>
            <w:pPr>
              <w:pStyle w:val="10"/>
              <w:spacing w:before="222"/>
              <w:rPr>
                <w:sz w:val="21"/>
              </w:rPr>
            </w:pPr>
          </w:p>
          <w:p>
            <w:pPr>
              <w:pStyle w:val="10"/>
              <w:spacing w:line="247" w:lineRule="auto"/>
              <w:ind w:left="108" w:right="-15"/>
              <w:rPr>
                <w:sz w:val="21"/>
              </w:rPr>
            </w:pPr>
            <w:r>
              <w:rPr>
                <w:spacing w:val="-4"/>
                <w:sz w:val="21"/>
              </w:rPr>
              <w:t>开展饮水卫生监测、公共场所监测、消毒监测、从业人员健康体检等工作，</w:t>
            </w:r>
            <w:r>
              <w:rPr>
                <w:spacing w:val="-2"/>
                <w:sz w:val="21"/>
              </w:rPr>
              <w:t>保障我市人民身体健康。</w:t>
            </w:r>
          </w:p>
        </w:tc>
        <w:tc>
          <w:tcPr>
            <w:tcW w:w="1425" w:type="dxa"/>
          </w:tcPr>
          <w:p>
            <w:pPr>
              <w:pStyle w:val="10"/>
              <w:spacing w:before="222"/>
              <w:rPr>
                <w:sz w:val="21"/>
              </w:rPr>
            </w:pPr>
          </w:p>
          <w:p>
            <w:pPr>
              <w:pStyle w:val="10"/>
              <w:spacing w:line="247" w:lineRule="auto"/>
              <w:ind w:left="106" w:right="98"/>
              <w:rPr>
                <w:sz w:val="21"/>
              </w:rPr>
            </w:pPr>
            <w:r>
              <w:rPr>
                <w:spacing w:val="28"/>
                <w:sz w:val="21"/>
              </w:rPr>
              <w:t>饮用水监测</w:t>
            </w:r>
            <w:r>
              <w:rPr>
                <w:spacing w:val="-6"/>
                <w:sz w:val="21"/>
              </w:rPr>
              <w:t>份数</w:t>
            </w:r>
          </w:p>
        </w:tc>
        <w:tc>
          <w:tcPr>
            <w:tcW w:w="930" w:type="dxa"/>
          </w:tcPr>
          <w:p>
            <w:pPr>
              <w:pStyle w:val="10"/>
              <w:rPr>
                <w:sz w:val="21"/>
              </w:rPr>
            </w:pPr>
          </w:p>
          <w:p>
            <w:pPr>
              <w:pStyle w:val="10"/>
              <w:spacing w:before="90"/>
              <w:rPr>
                <w:sz w:val="21"/>
              </w:rPr>
            </w:pPr>
          </w:p>
          <w:p>
            <w:pPr>
              <w:pStyle w:val="10"/>
              <w:ind w:left="79" w:right="74"/>
              <w:jc w:val="center"/>
              <w:rPr>
                <w:sz w:val="21"/>
              </w:rPr>
            </w:pPr>
            <w:r>
              <w:rPr>
                <w:spacing w:val="-2"/>
                <w:sz w:val="21"/>
              </w:rPr>
              <w:t>240</w:t>
            </w:r>
            <w:r>
              <w:rPr>
                <w:spacing w:val="-30"/>
                <w:sz w:val="21"/>
              </w:rPr>
              <w:t xml:space="preserve"> 份</w:t>
            </w:r>
          </w:p>
        </w:tc>
        <w:tc>
          <w:tcPr>
            <w:tcW w:w="930" w:type="dxa"/>
          </w:tcPr>
          <w:p>
            <w:pPr>
              <w:pStyle w:val="10"/>
              <w:rPr>
                <w:sz w:val="21"/>
              </w:rPr>
            </w:pPr>
          </w:p>
          <w:p>
            <w:pPr>
              <w:pStyle w:val="10"/>
              <w:spacing w:before="90"/>
              <w:rPr>
                <w:sz w:val="21"/>
              </w:rPr>
            </w:pPr>
          </w:p>
          <w:p>
            <w:pPr>
              <w:pStyle w:val="10"/>
              <w:ind w:left="81" w:right="74"/>
              <w:jc w:val="center"/>
              <w:rPr>
                <w:sz w:val="21"/>
              </w:rPr>
            </w:pPr>
            <w:r>
              <w:rPr>
                <w:spacing w:val="-2"/>
                <w:sz w:val="21"/>
              </w:rPr>
              <w:t>453</w:t>
            </w:r>
            <w:r>
              <w:rPr>
                <w:spacing w:val="-30"/>
                <w:sz w:val="21"/>
              </w:rPr>
              <w:t xml:space="preserve"> 份</w:t>
            </w:r>
          </w:p>
        </w:tc>
        <w:tc>
          <w:tcPr>
            <w:tcW w:w="900" w:type="dxa"/>
          </w:tcPr>
          <w:p>
            <w:pPr>
              <w:pStyle w:val="10"/>
              <w:rPr>
                <w:sz w:val="21"/>
              </w:rPr>
            </w:pPr>
          </w:p>
          <w:p>
            <w:pPr>
              <w:pStyle w:val="10"/>
              <w:spacing w:before="90"/>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7" w:hRule="atLeast"/>
        </w:trPr>
        <w:tc>
          <w:tcPr>
            <w:tcW w:w="1196" w:type="dxa"/>
          </w:tcPr>
          <w:p>
            <w:pPr>
              <w:pStyle w:val="10"/>
              <w:spacing w:before="1"/>
              <w:rPr>
                <w:sz w:val="21"/>
              </w:rPr>
            </w:pPr>
          </w:p>
          <w:p>
            <w:pPr>
              <w:pStyle w:val="10"/>
              <w:spacing w:line="244" w:lineRule="auto"/>
              <w:ind w:left="178" w:right="168"/>
              <w:jc w:val="center"/>
              <w:rPr>
                <w:sz w:val="21"/>
              </w:rPr>
            </w:pPr>
            <w:r>
              <w:rPr>
                <w:spacing w:val="-4"/>
                <w:sz w:val="21"/>
              </w:rPr>
              <w:t>遂宁市疾病预防中</w:t>
            </w:r>
            <w:r>
              <w:rPr>
                <w:spacing w:val="-10"/>
                <w:sz w:val="21"/>
              </w:rPr>
              <w:t>心</w:t>
            </w:r>
          </w:p>
        </w:tc>
        <w:tc>
          <w:tcPr>
            <w:tcW w:w="1096" w:type="dxa"/>
          </w:tcPr>
          <w:p>
            <w:pPr>
              <w:pStyle w:val="10"/>
              <w:spacing w:before="135" w:line="247" w:lineRule="auto"/>
              <w:ind w:left="107" w:right="97"/>
              <w:jc w:val="both"/>
              <w:rPr>
                <w:sz w:val="21"/>
              </w:rPr>
            </w:pPr>
            <w:r>
              <w:rPr>
                <w:spacing w:val="7"/>
                <w:sz w:val="21"/>
              </w:rPr>
              <w:t>疾控检验检测设备运转保障</w:t>
            </w:r>
            <w:r>
              <w:rPr>
                <w:spacing w:val="-6"/>
                <w:sz w:val="21"/>
              </w:rPr>
              <w:t>专项</w:t>
            </w:r>
          </w:p>
        </w:tc>
        <w:tc>
          <w:tcPr>
            <w:tcW w:w="6945" w:type="dxa"/>
          </w:tcPr>
          <w:p>
            <w:pPr>
              <w:pStyle w:val="10"/>
              <w:rPr>
                <w:sz w:val="21"/>
              </w:rPr>
            </w:pPr>
          </w:p>
          <w:p>
            <w:pPr>
              <w:pStyle w:val="10"/>
              <w:spacing w:before="9"/>
              <w:rPr>
                <w:sz w:val="21"/>
              </w:rPr>
            </w:pPr>
          </w:p>
          <w:p>
            <w:pPr>
              <w:pStyle w:val="10"/>
              <w:ind w:left="108"/>
              <w:rPr>
                <w:sz w:val="21"/>
              </w:rPr>
            </w:pPr>
            <w:r>
              <w:rPr>
                <w:spacing w:val="-3"/>
                <w:sz w:val="21"/>
              </w:rPr>
              <w:t>定期完成中心的仪器设备的检定/校准，确保设备安全运行。</w:t>
            </w:r>
          </w:p>
        </w:tc>
        <w:tc>
          <w:tcPr>
            <w:tcW w:w="1425" w:type="dxa"/>
          </w:tcPr>
          <w:p>
            <w:pPr>
              <w:pStyle w:val="10"/>
              <w:rPr>
                <w:sz w:val="21"/>
              </w:rPr>
            </w:pPr>
          </w:p>
          <w:p>
            <w:pPr>
              <w:pStyle w:val="10"/>
              <w:spacing w:before="9"/>
              <w:rPr>
                <w:sz w:val="21"/>
              </w:rPr>
            </w:pPr>
          </w:p>
          <w:p>
            <w:pPr>
              <w:pStyle w:val="10"/>
              <w:ind w:left="291"/>
              <w:rPr>
                <w:sz w:val="21"/>
              </w:rPr>
            </w:pPr>
            <w:r>
              <w:rPr>
                <w:spacing w:val="-7"/>
                <w:sz w:val="21"/>
              </w:rPr>
              <w:t>检定台件</w:t>
            </w:r>
          </w:p>
        </w:tc>
        <w:tc>
          <w:tcPr>
            <w:tcW w:w="930" w:type="dxa"/>
          </w:tcPr>
          <w:p>
            <w:pPr>
              <w:pStyle w:val="10"/>
              <w:rPr>
                <w:sz w:val="21"/>
              </w:rPr>
            </w:pPr>
          </w:p>
          <w:p>
            <w:pPr>
              <w:pStyle w:val="10"/>
              <w:spacing w:before="9"/>
              <w:rPr>
                <w:sz w:val="21"/>
              </w:rPr>
            </w:pPr>
          </w:p>
          <w:p>
            <w:pPr>
              <w:pStyle w:val="10"/>
              <w:ind w:left="79" w:right="74"/>
              <w:jc w:val="center"/>
              <w:rPr>
                <w:sz w:val="21"/>
              </w:rPr>
            </w:pPr>
            <w:r>
              <w:rPr>
                <w:spacing w:val="-2"/>
                <w:sz w:val="21"/>
              </w:rPr>
              <w:t>490</w:t>
            </w:r>
            <w:r>
              <w:rPr>
                <w:spacing w:val="-30"/>
                <w:sz w:val="21"/>
              </w:rPr>
              <w:t xml:space="preserve"> 台</w:t>
            </w:r>
          </w:p>
        </w:tc>
        <w:tc>
          <w:tcPr>
            <w:tcW w:w="930" w:type="dxa"/>
          </w:tcPr>
          <w:p>
            <w:pPr>
              <w:pStyle w:val="10"/>
              <w:rPr>
                <w:sz w:val="21"/>
              </w:rPr>
            </w:pPr>
          </w:p>
          <w:p>
            <w:pPr>
              <w:pStyle w:val="10"/>
              <w:spacing w:before="9"/>
              <w:rPr>
                <w:sz w:val="21"/>
              </w:rPr>
            </w:pPr>
          </w:p>
          <w:p>
            <w:pPr>
              <w:pStyle w:val="10"/>
              <w:ind w:left="81" w:right="74"/>
              <w:jc w:val="center"/>
              <w:rPr>
                <w:sz w:val="21"/>
              </w:rPr>
            </w:pPr>
            <w:r>
              <w:rPr>
                <w:spacing w:val="-2"/>
                <w:sz w:val="21"/>
              </w:rPr>
              <w:t>320</w:t>
            </w:r>
            <w:r>
              <w:rPr>
                <w:spacing w:val="-30"/>
                <w:sz w:val="21"/>
              </w:rPr>
              <w:t xml:space="preserve"> 台</w:t>
            </w:r>
          </w:p>
        </w:tc>
        <w:tc>
          <w:tcPr>
            <w:tcW w:w="900" w:type="dxa"/>
          </w:tcPr>
          <w:p>
            <w:pPr>
              <w:pStyle w:val="10"/>
              <w:rPr>
                <w:sz w:val="21"/>
              </w:rPr>
            </w:pPr>
          </w:p>
          <w:p>
            <w:pPr>
              <w:pStyle w:val="10"/>
              <w:spacing w:before="9"/>
              <w:rPr>
                <w:sz w:val="21"/>
              </w:rPr>
            </w:pPr>
          </w:p>
          <w:p>
            <w:pPr>
              <w:pStyle w:val="10"/>
              <w:ind w:left="54" w:right="44"/>
              <w:jc w:val="center"/>
              <w:rPr>
                <w:sz w:val="21"/>
              </w:rPr>
            </w:pPr>
            <w:r>
              <w:rPr>
                <w:spacing w:val="-5"/>
                <w:sz w:val="21"/>
              </w:rPr>
              <w:t>65%</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5" w:hRule="atLeast"/>
        </w:trPr>
        <w:tc>
          <w:tcPr>
            <w:tcW w:w="1196" w:type="dxa"/>
          </w:tcPr>
          <w:p>
            <w:pPr>
              <w:pStyle w:val="10"/>
              <w:spacing w:before="214" w:line="244" w:lineRule="auto"/>
              <w:ind w:left="178" w:right="168"/>
              <w:jc w:val="center"/>
              <w:rPr>
                <w:sz w:val="21"/>
              </w:rPr>
            </w:pPr>
            <w:r>
              <w:rPr>
                <w:spacing w:val="-4"/>
                <w:sz w:val="21"/>
              </w:rPr>
              <w:t>遂宁市疾病预防中</w:t>
            </w:r>
            <w:r>
              <w:rPr>
                <w:spacing w:val="-10"/>
                <w:sz w:val="21"/>
              </w:rPr>
              <w:t>心</w:t>
            </w:r>
          </w:p>
        </w:tc>
        <w:tc>
          <w:tcPr>
            <w:tcW w:w="1096" w:type="dxa"/>
          </w:tcPr>
          <w:p>
            <w:pPr>
              <w:pStyle w:val="10"/>
              <w:spacing w:before="214" w:line="244" w:lineRule="auto"/>
              <w:ind w:left="107" w:right="97"/>
              <w:jc w:val="both"/>
              <w:rPr>
                <w:sz w:val="21"/>
              </w:rPr>
            </w:pPr>
            <w:r>
              <w:rPr>
                <w:spacing w:val="7"/>
                <w:sz w:val="21"/>
              </w:rPr>
              <w:t>美沙酮门诊运转经</w:t>
            </w:r>
            <w:r>
              <w:rPr>
                <w:spacing w:val="-10"/>
                <w:sz w:val="21"/>
              </w:rPr>
              <w:t>费</w:t>
            </w:r>
          </w:p>
        </w:tc>
        <w:tc>
          <w:tcPr>
            <w:tcW w:w="6945" w:type="dxa"/>
          </w:tcPr>
          <w:p>
            <w:pPr>
              <w:pStyle w:val="10"/>
              <w:spacing w:before="219"/>
              <w:rPr>
                <w:sz w:val="21"/>
              </w:rPr>
            </w:pPr>
          </w:p>
          <w:p>
            <w:pPr>
              <w:pStyle w:val="10"/>
              <w:ind w:left="108"/>
              <w:rPr>
                <w:sz w:val="21"/>
              </w:rPr>
            </w:pPr>
            <w:r>
              <w:rPr>
                <w:spacing w:val="-3"/>
                <w:sz w:val="21"/>
              </w:rPr>
              <w:t>完成食品、药品安全检验</w:t>
            </w:r>
          </w:p>
        </w:tc>
        <w:tc>
          <w:tcPr>
            <w:tcW w:w="1425" w:type="dxa"/>
          </w:tcPr>
          <w:p>
            <w:pPr>
              <w:pStyle w:val="10"/>
              <w:spacing w:before="80"/>
              <w:rPr>
                <w:sz w:val="21"/>
              </w:rPr>
            </w:pPr>
          </w:p>
          <w:p>
            <w:pPr>
              <w:pStyle w:val="10"/>
              <w:spacing w:line="247" w:lineRule="auto"/>
              <w:ind w:left="397" w:right="178" w:hanging="212"/>
              <w:rPr>
                <w:sz w:val="21"/>
              </w:rPr>
            </w:pPr>
            <w:r>
              <w:rPr>
                <w:spacing w:val="-2"/>
                <w:sz w:val="21"/>
              </w:rPr>
              <w:t>购买美沙酮</w:t>
            </w:r>
            <w:r>
              <w:rPr>
                <w:spacing w:val="-4"/>
                <w:sz w:val="21"/>
              </w:rPr>
              <w:t>口服液</w:t>
            </w:r>
          </w:p>
        </w:tc>
        <w:tc>
          <w:tcPr>
            <w:tcW w:w="930" w:type="dxa"/>
          </w:tcPr>
          <w:p>
            <w:pPr>
              <w:pStyle w:val="10"/>
              <w:spacing w:before="219"/>
              <w:rPr>
                <w:sz w:val="21"/>
              </w:rPr>
            </w:pPr>
          </w:p>
          <w:p>
            <w:pPr>
              <w:pStyle w:val="10"/>
              <w:ind w:left="79" w:right="74"/>
              <w:jc w:val="center"/>
              <w:rPr>
                <w:sz w:val="21"/>
              </w:rPr>
            </w:pPr>
            <w:r>
              <w:rPr>
                <w:spacing w:val="-2"/>
                <w:sz w:val="21"/>
              </w:rPr>
              <w:t>200</w:t>
            </w:r>
            <w:r>
              <w:rPr>
                <w:spacing w:val="-30"/>
                <w:sz w:val="21"/>
              </w:rPr>
              <w:t xml:space="preserve"> 桶</w:t>
            </w:r>
          </w:p>
        </w:tc>
        <w:tc>
          <w:tcPr>
            <w:tcW w:w="930" w:type="dxa"/>
          </w:tcPr>
          <w:p>
            <w:pPr>
              <w:pStyle w:val="10"/>
              <w:spacing w:before="219"/>
              <w:rPr>
                <w:sz w:val="21"/>
              </w:rPr>
            </w:pPr>
          </w:p>
          <w:p>
            <w:pPr>
              <w:pStyle w:val="10"/>
              <w:ind w:left="81" w:right="74"/>
              <w:jc w:val="center"/>
              <w:rPr>
                <w:sz w:val="21"/>
              </w:rPr>
            </w:pPr>
            <w:r>
              <w:rPr>
                <w:spacing w:val="-2"/>
                <w:sz w:val="21"/>
              </w:rPr>
              <w:t>160</w:t>
            </w:r>
            <w:r>
              <w:rPr>
                <w:spacing w:val="-30"/>
                <w:sz w:val="21"/>
              </w:rPr>
              <w:t xml:space="preserve"> 桶</w:t>
            </w:r>
          </w:p>
        </w:tc>
        <w:tc>
          <w:tcPr>
            <w:tcW w:w="900" w:type="dxa"/>
          </w:tcPr>
          <w:p>
            <w:pPr>
              <w:pStyle w:val="10"/>
              <w:spacing w:before="219"/>
              <w:rPr>
                <w:sz w:val="21"/>
              </w:rPr>
            </w:pPr>
          </w:p>
          <w:p>
            <w:pPr>
              <w:pStyle w:val="10"/>
              <w:ind w:left="54" w:right="44"/>
              <w:jc w:val="center"/>
              <w:rPr>
                <w:sz w:val="21"/>
              </w:rPr>
            </w:pPr>
            <w:r>
              <w:rPr>
                <w:spacing w:val="-5"/>
                <w:sz w:val="21"/>
              </w:rPr>
              <w:t>80%</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3" w:hRule="atLeast"/>
        </w:trPr>
        <w:tc>
          <w:tcPr>
            <w:tcW w:w="1196" w:type="dxa"/>
          </w:tcPr>
          <w:p>
            <w:pPr>
              <w:pStyle w:val="10"/>
              <w:spacing w:before="14"/>
              <w:rPr>
                <w:sz w:val="21"/>
              </w:rPr>
            </w:pPr>
          </w:p>
          <w:p>
            <w:pPr>
              <w:pStyle w:val="10"/>
              <w:spacing w:before="1" w:line="244" w:lineRule="auto"/>
              <w:ind w:left="178" w:right="168"/>
              <w:jc w:val="center"/>
              <w:rPr>
                <w:sz w:val="21"/>
              </w:rPr>
            </w:pPr>
            <w:r>
              <w:rPr>
                <w:spacing w:val="-4"/>
                <w:sz w:val="21"/>
              </w:rPr>
              <w:t>遂宁市疾病预防中</w:t>
            </w:r>
            <w:r>
              <w:rPr>
                <w:spacing w:val="-10"/>
                <w:sz w:val="21"/>
              </w:rPr>
              <w:t>心</w:t>
            </w:r>
          </w:p>
        </w:tc>
        <w:tc>
          <w:tcPr>
            <w:tcW w:w="1096" w:type="dxa"/>
          </w:tcPr>
          <w:p>
            <w:pPr>
              <w:pStyle w:val="10"/>
              <w:spacing w:before="154"/>
              <w:rPr>
                <w:sz w:val="21"/>
              </w:rPr>
            </w:pPr>
          </w:p>
          <w:p>
            <w:pPr>
              <w:pStyle w:val="10"/>
              <w:spacing w:line="247" w:lineRule="auto"/>
              <w:ind w:left="107" w:right="97"/>
              <w:rPr>
                <w:sz w:val="21"/>
              </w:rPr>
            </w:pPr>
            <w:r>
              <w:rPr>
                <w:spacing w:val="7"/>
                <w:sz w:val="21"/>
              </w:rPr>
              <w:t>辅助管理</w:t>
            </w:r>
            <w:r>
              <w:rPr>
                <w:spacing w:val="-7"/>
                <w:sz w:val="21"/>
              </w:rPr>
              <w:t>专项经费</w:t>
            </w:r>
          </w:p>
        </w:tc>
        <w:tc>
          <w:tcPr>
            <w:tcW w:w="6945" w:type="dxa"/>
          </w:tcPr>
          <w:p>
            <w:pPr>
              <w:pStyle w:val="10"/>
              <w:rPr>
                <w:sz w:val="21"/>
              </w:rPr>
            </w:pPr>
          </w:p>
          <w:p>
            <w:pPr>
              <w:pStyle w:val="10"/>
              <w:spacing w:before="20"/>
              <w:rPr>
                <w:sz w:val="21"/>
              </w:rPr>
            </w:pPr>
          </w:p>
          <w:p>
            <w:pPr>
              <w:pStyle w:val="10"/>
              <w:ind w:left="108"/>
              <w:rPr>
                <w:sz w:val="21"/>
              </w:rPr>
            </w:pPr>
            <w:r>
              <w:rPr>
                <w:spacing w:val="-3"/>
                <w:sz w:val="21"/>
              </w:rPr>
              <w:t>对本年食品、公共场所从业人员健康检查的编外人员劳务报酬。</w:t>
            </w:r>
          </w:p>
        </w:tc>
        <w:tc>
          <w:tcPr>
            <w:tcW w:w="1425" w:type="dxa"/>
          </w:tcPr>
          <w:p>
            <w:pPr>
              <w:pStyle w:val="10"/>
              <w:spacing w:before="154"/>
              <w:rPr>
                <w:sz w:val="21"/>
              </w:rPr>
            </w:pPr>
          </w:p>
          <w:p>
            <w:pPr>
              <w:pStyle w:val="10"/>
              <w:spacing w:line="247" w:lineRule="auto"/>
              <w:ind w:left="185" w:right="178"/>
              <w:rPr>
                <w:sz w:val="21"/>
              </w:rPr>
            </w:pPr>
            <w:r>
              <w:rPr>
                <w:spacing w:val="-2"/>
                <w:sz w:val="21"/>
              </w:rPr>
              <w:t>全年体检从</w:t>
            </w:r>
            <w:r>
              <w:rPr>
                <w:spacing w:val="-4"/>
                <w:sz w:val="21"/>
              </w:rPr>
              <w:t>业人员人数</w:t>
            </w:r>
          </w:p>
        </w:tc>
        <w:tc>
          <w:tcPr>
            <w:tcW w:w="930" w:type="dxa"/>
          </w:tcPr>
          <w:p>
            <w:pPr>
              <w:pStyle w:val="10"/>
              <w:spacing w:before="154"/>
              <w:rPr>
                <w:sz w:val="21"/>
              </w:rPr>
            </w:pPr>
          </w:p>
          <w:p>
            <w:pPr>
              <w:pStyle w:val="10"/>
              <w:ind w:left="121"/>
              <w:rPr>
                <w:sz w:val="21"/>
              </w:rPr>
            </w:pPr>
            <w:r>
              <w:rPr>
                <w:spacing w:val="-2"/>
                <w:sz w:val="21"/>
              </w:rPr>
              <w:t>1.50</w:t>
            </w:r>
            <w:r>
              <w:rPr>
                <w:spacing w:val="-30"/>
                <w:sz w:val="21"/>
              </w:rPr>
              <w:t xml:space="preserve"> 万</w:t>
            </w:r>
          </w:p>
          <w:p>
            <w:pPr>
              <w:pStyle w:val="10"/>
              <w:spacing w:before="8"/>
              <w:ind w:left="359"/>
              <w:rPr>
                <w:sz w:val="21"/>
              </w:rPr>
            </w:pPr>
            <w:r>
              <w:rPr>
                <w:spacing w:val="-10"/>
                <w:sz w:val="21"/>
              </w:rPr>
              <w:t>人</w:t>
            </w:r>
          </w:p>
        </w:tc>
        <w:tc>
          <w:tcPr>
            <w:tcW w:w="930" w:type="dxa"/>
          </w:tcPr>
          <w:p>
            <w:pPr>
              <w:pStyle w:val="10"/>
              <w:spacing w:before="154"/>
              <w:rPr>
                <w:sz w:val="21"/>
              </w:rPr>
            </w:pPr>
          </w:p>
          <w:p>
            <w:pPr>
              <w:pStyle w:val="10"/>
              <w:ind w:left="122"/>
              <w:rPr>
                <w:sz w:val="21"/>
              </w:rPr>
            </w:pPr>
            <w:r>
              <w:rPr>
                <w:spacing w:val="-2"/>
                <w:sz w:val="21"/>
              </w:rPr>
              <w:t>1.02</w:t>
            </w:r>
            <w:r>
              <w:rPr>
                <w:spacing w:val="-30"/>
                <w:sz w:val="21"/>
              </w:rPr>
              <w:t xml:space="preserve"> 万</w:t>
            </w:r>
          </w:p>
          <w:p>
            <w:pPr>
              <w:pStyle w:val="10"/>
              <w:spacing w:before="8"/>
              <w:ind w:left="360"/>
              <w:rPr>
                <w:sz w:val="21"/>
              </w:rPr>
            </w:pPr>
            <w:r>
              <w:rPr>
                <w:spacing w:val="-10"/>
                <w:sz w:val="21"/>
              </w:rPr>
              <w:t>人</w:t>
            </w:r>
          </w:p>
        </w:tc>
        <w:tc>
          <w:tcPr>
            <w:tcW w:w="900" w:type="dxa"/>
          </w:tcPr>
          <w:p>
            <w:pPr>
              <w:pStyle w:val="10"/>
              <w:rPr>
                <w:sz w:val="21"/>
              </w:rPr>
            </w:pPr>
          </w:p>
          <w:p>
            <w:pPr>
              <w:pStyle w:val="10"/>
              <w:spacing w:before="20"/>
              <w:rPr>
                <w:sz w:val="21"/>
              </w:rPr>
            </w:pPr>
          </w:p>
          <w:p>
            <w:pPr>
              <w:pStyle w:val="10"/>
              <w:ind w:left="54" w:right="44"/>
              <w:jc w:val="center"/>
              <w:rPr>
                <w:sz w:val="21"/>
              </w:rPr>
            </w:pPr>
            <w:r>
              <w:rPr>
                <w:spacing w:val="-5"/>
                <w:sz w:val="21"/>
              </w:rPr>
              <w:t>68%</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5" w:hRule="atLeast"/>
        </w:trPr>
        <w:tc>
          <w:tcPr>
            <w:tcW w:w="1196" w:type="dxa"/>
          </w:tcPr>
          <w:p>
            <w:pPr>
              <w:pStyle w:val="10"/>
              <w:spacing w:before="10"/>
              <w:rPr>
                <w:sz w:val="21"/>
              </w:rPr>
            </w:pPr>
          </w:p>
          <w:p>
            <w:pPr>
              <w:pStyle w:val="10"/>
              <w:spacing w:line="244" w:lineRule="auto"/>
              <w:ind w:left="178" w:right="168"/>
              <w:jc w:val="center"/>
              <w:rPr>
                <w:sz w:val="21"/>
              </w:rPr>
            </w:pPr>
            <w:r>
              <w:rPr>
                <w:spacing w:val="-4"/>
                <w:sz w:val="21"/>
              </w:rPr>
              <w:t>遂宁市疾病预防中</w:t>
            </w:r>
            <w:r>
              <w:rPr>
                <w:spacing w:val="-10"/>
                <w:sz w:val="21"/>
              </w:rPr>
              <w:t>心</w:t>
            </w:r>
          </w:p>
        </w:tc>
        <w:tc>
          <w:tcPr>
            <w:tcW w:w="1096" w:type="dxa"/>
          </w:tcPr>
          <w:p>
            <w:pPr>
              <w:pStyle w:val="10"/>
              <w:spacing w:before="149"/>
              <w:rPr>
                <w:sz w:val="21"/>
              </w:rPr>
            </w:pPr>
          </w:p>
          <w:p>
            <w:pPr>
              <w:pStyle w:val="10"/>
              <w:spacing w:line="247" w:lineRule="auto"/>
              <w:ind w:left="107" w:right="97"/>
              <w:rPr>
                <w:sz w:val="21"/>
              </w:rPr>
            </w:pPr>
            <w:r>
              <w:rPr>
                <w:spacing w:val="7"/>
                <w:sz w:val="21"/>
              </w:rPr>
              <w:t>重大公共</w:t>
            </w:r>
            <w:r>
              <w:rPr>
                <w:spacing w:val="-7"/>
                <w:sz w:val="21"/>
              </w:rPr>
              <w:t>卫生专项</w:t>
            </w:r>
          </w:p>
        </w:tc>
        <w:tc>
          <w:tcPr>
            <w:tcW w:w="6945" w:type="dxa"/>
          </w:tcPr>
          <w:p>
            <w:pPr>
              <w:pStyle w:val="10"/>
              <w:rPr>
                <w:sz w:val="21"/>
              </w:rPr>
            </w:pPr>
          </w:p>
          <w:p>
            <w:pPr>
              <w:pStyle w:val="10"/>
              <w:spacing w:before="18"/>
              <w:rPr>
                <w:sz w:val="21"/>
              </w:rPr>
            </w:pPr>
          </w:p>
          <w:p>
            <w:pPr>
              <w:pStyle w:val="10"/>
              <w:ind w:left="108"/>
              <w:rPr>
                <w:sz w:val="21"/>
              </w:rPr>
            </w:pPr>
            <w:r>
              <w:rPr>
                <w:spacing w:val="-3"/>
                <w:sz w:val="21"/>
              </w:rPr>
              <w:t>促进艾滋病防治工作，营造全民防艾意识，提高大众艾滋病知识知晓率。</w:t>
            </w:r>
          </w:p>
        </w:tc>
        <w:tc>
          <w:tcPr>
            <w:tcW w:w="1425" w:type="dxa"/>
          </w:tcPr>
          <w:p>
            <w:pPr>
              <w:pStyle w:val="10"/>
              <w:spacing w:before="10"/>
              <w:rPr>
                <w:sz w:val="21"/>
              </w:rPr>
            </w:pPr>
          </w:p>
          <w:p>
            <w:pPr>
              <w:pStyle w:val="10"/>
              <w:spacing w:line="244" w:lineRule="auto"/>
              <w:ind w:left="185" w:right="178"/>
              <w:jc w:val="both"/>
              <w:rPr>
                <w:sz w:val="21"/>
              </w:rPr>
            </w:pPr>
            <w:r>
              <w:rPr>
                <w:spacing w:val="-2"/>
                <w:sz w:val="21"/>
              </w:rPr>
              <w:t>开展艾滋病防治宣传印</w:t>
            </w:r>
            <w:r>
              <w:rPr>
                <w:spacing w:val="-4"/>
                <w:sz w:val="21"/>
              </w:rPr>
              <w:t>刷宣传资料</w:t>
            </w:r>
          </w:p>
        </w:tc>
        <w:tc>
          <w:tcPr>
            <w:tcW w:w="930" w:type="dxa"/>
          </w:tcPr>
          <w:p>
            <w:pPr>
              <w:pStyle w:val="10"/>
              <w:rPr>
                <w:sz w:val="21"/>
              </w:rPr>
            </w:pPr>
          </w:p>
          <w:p>
            <w:pPr>
              <w:pStyle w:val="10"/>
              <w:spacing w:before="18"/>
              <w:rPr>
                <w:sz w:val="21"/>
              </w:rPr>
            </w:pPr>
          </w:p>
          <w:p>
            <w:pPr>
              <w:pStyle w:val="10"/>
              <w:ind w:left="79" w:right="74"/>
              <w:jc w:val="center"/>
              <w:rPr>
                <w:sz w:val="21"/>
              </w:rPr>
            </w:pPr>
            <w:r>
              <w:rPr>
                <w:spacing w:val="-4"/>
                <w:sz w:val="21"/>
              </w:rPr>
              <w:t>1</w:t>
            </w:r>
            <w:r>
              <w:rPr>
                <w:spacing w:val="-22"/>
                <w:sz w:val="21"/>
              </w:rPr>
              <w:t xml:space="preserve"> 万份</w:t>
            </w:r>
          </w:p>
        </w:tc>
        <w:tc>
          <w:tcPr>
            <w:tcW w:w="930" w:type="dxa"/>
          </w:tcPr>
          <w:p>
            <w:pPr>
              <w:pStyle w:val="10"/>
              <w:spacing w:before="149"/>
              <w:rPr>
                <w:sz w:val="21"/>
              </w:rPr>
            </w:pPr>
          </w:p>
          <w:p>
            <w:pPr>
              <w:pStyle w:val="10"/>
              <w:ind w:left="122"/>
              <w:rPr>
                <w:sz w:val="21"/>
              </w:rPr>
            </w:pPr>
            <w:r>
              <w:rPr>
                <w:spacing w:val="-2"/>
                <w:sz w:val="21"/>
              </w:rPr>
              <w:t>1.05</w:t>
            </w:r>
            <w:r>
              <w:rPr>
                <w:spacing w:val="-30"/>
                <w:sz w:val="21"/>
              </w:rPr>
              <w:t xml:space="preserve"> 万</w:t>
            </w:r>
          </w:p>
          <w:p>
            <w:pPr>
              <w:pStyle w:val="10"/>
              <w:spacing w:before="8"/>
              <w:ind w:left="360"/>
              <w:rPr>
                <w:sz w:val="21"/>
              </w:rPr>
            </w:pPr>
            <w:r>
              <w:rPr>
                <w:spacing w:val="-10"/>
                <w:sz w:val="21"/>
              </w:rPr>
              <w:t>份</w:t>
            </w:r>
          </w:p>
        </w:tc>
        <w:tc>
          <w:tcPr>
            <w:tcW w:w="900" w:type="dxa"/>
          </w:tcPr>
          <w:p>
            <w:pPr>
              <w:pStyle w:val="10"/>
              <w:rPr>
                <w:sz w:val="21"/>
              </w:rPr>
            </w:pPr>
          </w:p>
          <w:p>
            <w:pPr>
              <w:pStyle w:val="10"/>
              <w:spacing w:before="18"/>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7" w:hRule="atLeast"/>
        </w:trPr>
        <w:tc>
          <w:tcPr>
            <w:tcW w:w="1196" w:type="dxa"/>
          </w:tcPr>
          <w:p>
            <w:pPr>
              <w:pStyle w:val="10"/>
              <w:spacing w:before="150"/>
              <w:rPr>
                <w:sz w:val="21"/>
              </w:rPr>
            </w:pPr>
          </w:p>
          <w:p>
            <w:pPr>
              <w:pStyle w:val="10"/>
              <w:spacing w:line="276" w:lineRule="auto"/>
              <w:ind w:left="108" w:right="237"/>
              <w:rPr>
                <w:sz w:val="21"/>
              </w:rPr>
            </w:pPr>
            <w:r>
              <w:rPr>
                <w:spacing w:val="-4"/>
                <w:sz w:val="21"/>
              </w:rPr>
              <w:t>市中心血</w:t>
            </w:r>
            <w:r>
              <w:rPr>
                <w:spacing w:val="-10"/>
                <w:sz w:val="21"/>
              </w:rPr>
              <w:t>站</w:t>
            </w:r>
          </w:p>
        </w:tc>
        <w:tc>
          <w:tcPr>
            <w:tcW w:w="1096" w:type="dxa"/>
          </w:tcPr>
          <w:p>
            <w:pPr>
              <w:pStyle w:val="10"/>
              <w:spacing w:before="73" w:line="316" w:lineRule="auto"/>
              <w:ind w:left="107" w:right="138"/>
              <w:jc w:val="both"/>
              <w:rPr>
                <w:sz w:val="21"/>
              </w:rPr>
            </w:pPr>
            <w:r>
              <w:rPr>
                <w:spacing w:val="-4"/>
                <w:sz w:val="21"/>
              </w:rPr>
              <w:t>血液病疾病预防控制（</w:t>
            </w:r>
            <w:r>
              <w:rPr>
                <w:spacing w:val="-8"/>
                <w:sz w:val="21"/>
              </w:rPr>
              <w:t>艾滋</w:t>
            </w:r>
          </w:p>
          <w:p>
            <w:pPr>
              <w:pStyle w:val="10"/>
              <w:spacing w:line="264" w:lineRule="exact"/>
              <w:ind w:left="107"/>
              <w:rPr>
                <w:sz w:val="21"/>
              </w:rPr>
            </w:pPr>
            <w:r>
              <w:rPr>
                <w:spacing w:val="-4"/>
                <w:sz w:val="21"/>
              </w:rPr>
              <w:t>病检测</w:t>
            </w:r>
            <w:r>
              <w:rPr>
                <w:spacing w:val="-12"/>
                <w:sz w:val="21"/>
              </w:rPr>
              <w:t>）</w:t>
            </w:r>
          </w:p>
        </w:tc>
        <w:tc>
          <w:tcPr>
            <w:tcW w:w="6945" w:type="dxa"/>
          </w:tcPr>
          <w:p>
            <w:pPr>
              <w:pStyle w:val="10"/>
              <w:rPr>
                <w:sz w:val="21"/>
              </w:rPr>
            </w:pPr>
          </w:p>
          <w:p>
            <w:pPr>
              <w:pStyle w:val="10"/>
              <w:spacing w:before="33"/>
              <w:rPr>
                <w:sz w:val="21"/>
              </w:rPr>
            </w:pPr>
          </w:p>
          <w:p>
            <w:pPr>
              <w:pStyle w:val="10"/>
              <w:ind w:left="108"/>
              <w:rPr>
                <w:sz w:val="21"/>
              </w:rPr>
            </w:pPr>
            <w:r>
              <w:rPr>
                <w:spacing w:val="-2"/>
                <w:sz w:val="21"/>
              </w:rPr>
              <w:t>500</w:t>
            </w:r>
            <w:r>
              <w:rPr>
                <w:spacing w:val="-30"/>
                <w:sz w:val="21"/>
              </w:rPr>
              <w:t xml:space="preserve"> 人</w:t>
            </w:r>
          </w:p>
        </w:tc>
        <w:tc>
          <w:tcPr>
            <w:tcW w:w="1425" w:type="dxa"/>
          </w:tcPr>
          <w:p>
            <w:pPr>
              <w:pStyle w:val="10"/>
              <w:spacing w:before="150"/>
              <w:rPr>
                <w:sz w:val="21"/>
              </w:rPr>
            </w:pPr>
          </w:p>
          <w:p>
            <w:pPr>
              <w:pStyle w:val="10"/>
              <w:spacing w:line="276" w:lineRule="auto"/>
              <w:ind w:left="605" w:right="178" w:hanging="420"/>
              <w:rPr>
                <w:sz w:val="21"/>
              </w:rPr>
            </w:pPr>
            <w:r>
              <w:rPr>
                <w:spacing w:val="-2"/>
                <w:sz w:val="21"/>
              </w:rPr>
              <w:t>血清检测人</w:t>
            </w:r>
            <w:r>
              <w:rPr>
                <w:spacing w:val="-10"/>
                <w:sz w:val="21"/>
              </w:rPr>
              <w:t>数</w:t>
            </w:r>
          </w:p>
        </w:tc>
        <w:tc>
          <w:tcPr>
            <w:tcW w:w="930" w:type="dxa"/>
          </w:tcPr>
          <w:p>
            <w:pPr>
              <w:pStyle w:val="10"/>
              <w:spacing w:before="150"/>
              <w:rPr>
                <w:sz w:val="21"/>
              </w:rPr>
            </w:pPr>
          </w:p>
          <w:p>
            <w:pPr>
              <w:pStyle w:val="10"/>
              <w:ind w:left="80" w:right="74"/>
              <w:jc w:val="center"/>
              <w:rPr>
                <w:sz w:val="21"/>
              </w:rPr>
            </w:pPr>
            <w:r>
              <w:rPr>
                <w:spacing w:val="-4"/>
                <w:sz w:val="21"/>
              </w:rPr>
              <w:t>≧500</w:t>
            </w:r>
          </w:p>
          <w:p>
            <w:pPr>
              <w:pStyle w:val="10"/>
              <w:spacing w:before="42"/>
              <w:ind w:left="81" w:right="74"/>
              <w:jc w:val="center"/>
              <w:rPr>
                <w:sz w:val="21"/>
              </w:rPr>
            </w:pPr>
            <w:r>
              <w:rPr>
                <w:spacing w:val="-10"/>
                <w:sz w:val="21"/>
              </w:rPr>
              <w:t>人</w:t>
            </w:r>
          </w:p>
        </w:tc>
        <w:tc>
          <w:tcPr>
            <w:tcW w:w="930" w:type="dxa"/>
          </w:tcPr>
          <w:p>
            <w:pPr>
              <w:pStyle w:val="10"/>
              <w:rPr>
                <w:sz w:val="21"/>
              </w:rPr>
            </w:pPr>
          </w:p>
          <w:p>
            <w:pPr>
              <w:pStyle w:val="10"/>
              <w:spacing w:before="33"/>
              <w:rPr>
                <w:sz w:val="21"/>
              </w:rPr>
            </w:pPr>
          </w:p>
          <w:p>
            <w:pPr>
              <w:pStyle w:val="10"/>
              <w:ind w:left="85" w:right="74"/>
              <w:jc w:val="center"/>
              <w:rPr>
                <w:sz w:val="21"/>
              </w:rPr>
            </w:pPr>
            <w:r>
              <w:rPr>
                <w:spacing w:val="-5"/>
                <w:sz w:val="21"/>
              </w:rPr>
              <w:t>500</w:t>
            </w:r>
          </w:p>
        </w:tc>
        <w:tc>
          <w:tcPr>
            <w:tcW w:w="900" w:type="dxa"/>
          </w:tcPr>
          <w:p>
            <w:pPr>
              <w:pStyle w:val="10"/>
              <w:rPr>
                <w:sz w:val="21"/>
              </w:rPr>
            </w:pPr>
          </w:p>
          <w:p>
            <w:pPr>
              <w:pStyle w:val="10"/>
              <w:spacing w:before="33"/>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bl>
    <w:p>
      <w:pPr>
        <w:pStyle w:val="10"/>
        <w:spacing w:after="0"/>
        <w:rPr>
          <w:rFonts w:ascii="Times New Roman"/>
          <w:sz w:val="20"/>
        </w:rPr>
        <w:sectPr>
          <w:pgSz w:w="16840" w:h="11910" w:orient="landscape"/>
          <w:pgMar w:top="1340" w:right="1559" w:bottom="1060" w:left="1559" w:header="0" w:footer="864" w:gutter="0"/>
          <w:cols w:space="720" w:num="1"/>
        </w:sectPr>
      </w:pPr>
    </w:p>
    <w:p>
      <w:pPr>
        <w:pStyle w:val="4"/>
        <w:spacing w:before="4"/>
        <w:ind w:left="0"/>
        <w:rPr>
          <w:sz w:val="14"/>
        </w:rPr>
      </w:pPr>
    </w:p>
    <w:tbl>
      <w:tblPr>
        <w:tblStyle w:val="6"/>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6"/>
        <w:gridCol w:w="1096"/>
        <w:gridCol w:w="6945"/>
        <w:gridCol w:w="1425"/>
        <w:gridCol w:w="930"/>
        <w:gridCol w:w="930"/>
        <w:gridCol w:w="900"/>
        <w:gridCol w:w="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hRule="atLeast"/>
        </w:trPr>
        <w:tc>
          <w:tcPr>
            <w:tcW w:w="1196" w:type="dxa"/>
          </w:tcPr>
          <w:p>
            <w:pPr>
              <w:pStyle w:val="10"/>
              <w:spacing w:before="123" w:line="276" w:lineRule="auto"/>
              <w:ind w:left="108" w:right="237"/>
              <w:rPr>
                <w:sz w:val="21"/>
              </w:rPr>
            </w:pPr>
            <w:r>
              <w:rPr>
                <w:spacing w:val="-4"/>
                <w:sz w:val="21"/>
              </w:rPr>
              <w:t>市中心血</w:t>
            </w:r>
            <w:r>
              <w:rPr>
                <w:spacing w:val="-10"/>
                <w:sz w:val="21"/>
              </w:rPr>
              <w:t>站</w:t>
            </w:r>
          </w:p>
        </w:tc>
        <w:tc>
          <w:tcPr>
            <w:tcW w:w="1096" w:type="dxa"/>
          </w:tcPr>
          <w:p>
            <w:pPr>
              <w:pStyle w:val="10"/>
              <w:spacing w:before="123" w:line="276" w:lineRule="auto"/>
              <w:ind w:left="107" w:right="138"/>
              <w:rPr>
                <w:sz w:val="21"/>
              </w:rPr>
            </w:pPr>
            <w:r>
              <w:rPr>
                <w:spacing w:val="-4"/>
                <w:sz w:val="21"/>
              </w:rPr>
              <w:t>血液采集</w:t>
            </w:r>
            <w:r>
              <w:rPr>
                <w:spacing w:val="-7"/>
                <w:sz w:val="21"/>
              </w:rPr>
              <w:t>专项经费</w:t>
            </w:r>
          </w:p>
        </w:tc>
        <w:tc>
          <w:tcPr>
            <w:tcW w:w="6945" w:type="dxa"/>
          </w:tcPr>
          <w:p>
            <w:pPr>
              <w:pStyle w:val="10"/>
              <w:spacing w:before="8"/>
              <w:rPr>
                <w:sz w:val="21"/>
              </w:rPr>
            </w:pPr>
          </w:p>
          <w:p>
            <w:pPr>
              <w:pStyle w:val="10"/>
              <w:ind w:left="108"/>
              <w:rPr>
                <w:sz w:val="21"/>
              </w:rPr>
            </w:pPr>
            <w:r>
              <w:rPr>
                <w:spacing w:val="-2"/>
                <w:sz w:val="21"/>
              </w:rPr>
              <w:t>31</w:t>
            </w:r>
            <w:r>
              <w:rPr>
                <w:spacing w:val="-31"/>
                <w:sz w:val="21"/>
              </w:rPr>
              <w:t xml:space="preserve"> 人</w:t>
            </w:r>
          </w:p>
        </w:tc>
        <w:tc>
          <w:tcPr>
            <w:tcW w:w="1425" w:type="dxa"/>
          </w:tcPr>
          <w:p>
            <w:pPr>
              <w:pStyle w:val="10"/>
              <w:spacing w:before="123" w:line="276" w:lineRule="auto"/>
              <w:ind w:left="605" w:right="178" w:hanging="420"/>
              <w:rPr>
                <w:sz w:val="21"/>
              </w:rPr>
            </w:pPr>
            <w:r>
              <w:rPr>
                <w:spacing w:val="-2"/>
                <w:sz w:val="21"/>
              </w:rPr>
              <w:t>经费供养人</w:t>
            </w:r>
            <w:r>
              <w:rPr>
                <w:spacing w:val="-10"/>
                <w:sz w:val="21"/>
              </w:rPr>
              <w:t>数</w:t>
            </w:r>
          </w:p>
        </w:tc>
        <w:tc>
          <w:tcPr>
            <w:tcW w:w="930" w:type="dxa"/>
          </w:tcPr>
          <w:p>
            <w:pPr>
              <w:pStyle w:val="10"/>
              <w:spacing w:before="8"/>
              <w:rPr>
                <w:sz w:val="21"/>
              </w:rPr>
            </w:pPr>
          </w:p>
          <w:p>
            <w:pPr>
              <w:pStyle w:val="10"/>
              <w:ind w:left="79" w:right="74"/>
              <w:jc w:val="center"/>
              <w:rPr>
                <w:sz w:val="21"/>
              </w:rPr>
            </w:pPr>
            <w:r>
              <w:rPr>
                <w:spacing w:val="-2"/>
                <w:sz w:val="21"/>
              </w:rPr>
              <w:t>≧31</w:t>
            </w:r>
            <w:r>
              <w:rPr>
                <w:spacing w:val="-30"/>
                <w:sz w:val="21"/>
              </w:rPr>
              <w:t xml:space="preserve"> 人</w:t>
            </w:r>
          </w:p>
        </w:tc>
        <w:tc>
          <w:tcPr>
            <w:tcW w:w="930" w:type="dxa"/>
          </w:tcPr>
          <w:p>
            <w:pPr>
              <w:pStyle w:val="10"/>
              <w:spacing w:before="8"/>
              <w:rPr>
                <w:sz w:val="21"/>
              </w:rPr>
            </w:pPr>
          </w:p>
          <w:p>
            <w:pPr>
              <w:pStyle w:val="10"/>
              <w:ind w:left="85" w:right="74"/>
              <w:jc w:val="center"/>
              <w:rPr>
                <w:sz w:val="21"/>
              </w:rPr>
            </w:pPr>
            <w:r>
              <w:rPr>
                <w:spacing w:val="-5"/>
                <w:sz w:val="21"/>
              </w:rPr>
              <w:t>29</w:t>
            </w:r>
          </w:p>
        </w:tc>
        <w:tc>
          <w:tcPr>
            <w:tcW w:w="900" w:type="dxa"/>
          </w:tcPr>
          <w:p>
            <w:pPr>
              <w:pStyle w:val="10"/>
              <w:spacing w:before="8"/>
              <w:rPr>
                <w:sz w:val="21"/>
              </w:rPr>
            </w:pPr>
          </w:p>
          <w:p>
            <w:pPr>
              <w:pStyle w:val="10"/>
              <w:ind w:left="51" w:right="44"/>
              <w:jc w:val="center"/>
              <w:rPr>
                <w:sz w:val="21"/>
              </w:rPr>
            </w:pPr>
            <w:r>
              <w:rPr>
                <w:spacing w:val="-2"/>
                <w:sz w:val="21"/>
              </w:rPr>
              <w:t>93.55%</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5" w:hRule="atLeast"/>
        </w:trPr>
        <w:tc>
          <w:tcPr>
            <w:tcW w:w="1196" w:type="dxa"/>
          </w:tcPr>
          <w:p>
            <w:pPr>
              <w:pStyle w:val="10"/>
              <w:spacing w:before="174" w:line="278" w:lineRule="auto"/>
              <w:ind w:left="108" w:right="237"/>
              <w:rPr>
                <w:sz w:val="21"/>
              </w:rPr>
            </w:pPr>
            <w:r>
              <w:rPr>
                <w:spacing w:val="-4"/>
                <w:sz w:val="21"/>
              </w:rPr>
              <w:t>市中心血</w:t>
            </w:r>
            <w:r>
              <w:rPr>
                <w:spacing w:val="-10"/>
                <w:sz w:val="21"/>
              </w:rPr>
              <w:t>站</w:t>
            </w:r>
          </w:p>
        </w:tc>
        <w:tc>
          <w:tcPr>
            <w:tcW w:w="1096" w:type="dxa"/>
          </w:tcPr>
          <w:p>
            <w:pPr>
              <w:pStyle w:val="10"/>
              <w:spacing w:before="174" w:line="278" w:lineRule="auto"/>
              <w:ind w:left="107" w:right="138"/>
              <w:rPr>
                <w:sz w:val="21"/>
              </w:rPr>
            </w:pPr>
            <w:r>
              <w:rPr>
                <w:spacing w:val="-4"/>
                <w:sz w:val="21"/>
              </w:rPr>
              <w:t>核酸试剂及耗材</w:t>
            </w:r>
          </w:p>
        </w:tc>
        <w:tc>
          <w:tcPr>
            <w:tcW w:w="6945" w:type="dxa"/>
          </w:tcPr>
          <w:p>
            <w:pPr>
              <w:pStyle w:val="10"/>
              <w:spacing w:before="59"/>
              <w:rPr>
                <w:sz w:val="21"/>
              </w:rPr>
            </w:pPr>
          </w:p>
          <w:p>
            <w:pPr>
              <w:pStyle w:val="10"/>
              <w:spacing w:before="1"/>
              <w:ind w:left="108"/>
              <w:rPr>
                <w:sz w:val="21"/>
              </w:rPr>
            </w:pPr>
            <w:r>
              <w:rPr>
                <w:spacing w:val="-2"/>
                <w:sz w:val="21"/>
              </w:rPr>
              <w:t>47000</w:t>
            </w:r>
            <w:r>
              <w:rPr>
                <w:spacing w:val="-30"/>
                <w:sz w:val="21"/>
              </w:rPr>
              <w:t xml:space="preserve"> 人</w:t>
            </w:r>
          </w:p>
        </w:tc>
        <w:tc>
          <w:tcPr>
            <w:tcW w:w="1425" w:type="dxa"/>
          </w:tcPr>
          <w:p>
            <w:pPr>
              <w:pStyle w:val="10"/>
              <w:spacing w:before="59"/>
              <w:rPr>
                <w:sz w:val="21"/>
              </w:rPr>
            </w:pPr>
          </w:p>
          <w:p>
            <w:pPr>
              <w:pStyle w:val="10"/>
              <w:spacing w:before="1"/>
              <w:ind w:left="291"/>
              <w:rPr>
                <w:sz w:val="21"/>
              </w:rPr>
            </w:pPr>
            <w:r>
              <w:rPr>
                <w:spacing w:val="-7"/>
                <w:sz w:val="21"/>
              </w:rPr>
              <w:t>检测人数</w:t>
            </w:r>
          </w:p>
        </w:tc>
        <w:tc>
          <w:tcPr>
            <w:tcW w:w="930" w:type="dxa"/>
          </w:tcPr>
          <w:p>
            <w:pPr>
              <w:pStyle w:val="10"/>
              <w:spacing w:before="18" w:line="276" w:lineRule="auto"/>
              <w:ind w:left="200" w:right="185" w:firstLine="158"/>
              <w:rPr>
                <w:sz w:val="21"/>
              </w:rPr>
            </w:pPr>
            <w:r>
              <w:rPr>
                <w:spacing w:val="-10"/>
                <w:sz w:val="21"/>
              </w:rPr>
              <w:t xml:space="preserve">≧ </w:t>
            </w:r>
            <w:r>
              <w:rPr>
                <w:spacing w:val="-2"/>
                <w:sz w:val="21"/>
              </w:rPr>
              <w:t>47000</w:t>
            </w:r>
          </w:p>
          <w:p>
            <w:pPr>
              <w:pStyle w:val="10"/>
              <w:spacing w:before="1"/>
              <w:ind w:left="253"/>
              <w:rPr>
                <w:sz w:val="21"/>
              </w:rPr>
            </w:pPr>
            <w:r>
              <w:rPr>
                <w:spacing w:val="-8"/>
                <w:sz w:val="21"/>
              </w:rPr>
              <w:t>人份</w:t>
            </w:r>
          </w:p>
        </w:tc>
        <w:tc>
          <w:tcPr>
            <w:tcW w:w="930" w:type="dxa"/>
          </w:tcPr>
          <w:p>
            <w:pPr>
              <w:pStyle w:val="10"/>
              <w:spacing w:before="174"/>
              <w:ind w:left="82" w:right="74"/>
              <w:jc w:val="center"/>
              <w:rPr>
                <w:sz w:val="21"/>
              </w:rPr>
            </w:pPr>
            <w:r>
              <w:rPr>
                <w:spacing w:val="-2"/>
                <w:sz w:val="21"/>
              </w:rPr>
              <w:t>39637</w:t>
            </w:r>
          </w:p>
          <w:p>
            <w:pPr>
              <w:pStyle w:val="10"/>
              <w:spacing w:before="44"/>
              <w:ind w:left="84" w:right="74"/>
              <w:jc w:val="center"/>
              <w:rPr>
                <w:sz w:val="21"/>
              </w:rPr>
            </w:pPr>
            <w:r>
              <w:rPr>
                <w:spacing w:val="-10"/>
                <w:sz w:val="21"/>
              </w:rPr>
              <w:t>人</w:t>
            </w:r>
          </w:p>
        </w:tc>
        <w:tc>
          <w:tcPr>
            <w:tcW w:w="900" w:type="dxa"/>
          </w:tcPr>
          <w:p>
            <w:pPr>
              <w:pStyle w:val="10"/>
              <w:spacing w:before="59"/>
              <w:rPr>
                <w:sz w:val="21"/>
              </w:rPr>
            </w:pPr>
          </w:p>
          <w:p>
            <w:pPr>
              <w:pStyle w:val="10"/>
              <w:spacing w:before="1"/>
              <w:ind w:left="51" w:right="44"/>
              <w:jc w:val="center"/>
              <w:rPr>
                <w:sz w:val="21"/>
              </w:rPr>
            </w:pPr>
            <w:r>
              <w:rPr>
                <w:spacing w:val="-2"/>
                <w:sz w:val="21"/>
              </w:rPr>
              <w:t>84.33%</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5" w:hRule="atLeast"/>
        </w:trPr>
        <w:tc>
          <w:tcPr>
            <w:tcW w:w="1196" w:type="dxa"/>
          </w:tcPr>
          <w:p>
            <w:pPr>
              <w:pStyle w:val="10"/>
              <w:spacing w:before="174" w:line="276" w:lineRule="auto"/>
              <w:ind w:left="108" w:right="237"/>
              <w:rPr>
                <w:sz w:val="21"/>
              </w:rPr>
            </w:pPr>
            <w:r>
              <w:rPr>
                <w:spacing w:val="-4"/>
                <w:sz w:val="21"/>
              </w:rPr>
              <w:t>市中心血</w:t>
            </w:r>
            <w:r>
              <w:rPr>
                <w:spacing w:val="-10"/>
                <w:sz w:val="21"/>
              </w:rPr>
              <w:t>站</w:t>
            </w:r>
          </w:p>
        </w:tc>
        <w:tc>
          <w:tcPr>
            <w:tcW w:w="1096" w:type="dxa"/>
          </w:tcPr>
          <w:p>
            <w:pPr>
              <w:pStyle w:val="10"/>
              <w:spacing w:before="174" w:line="276" w:lineRule="auto"/>
              <w:ind w:left="107" w:right="138"/>
              <w:rPr>
                <w:sz w:val="21"/>
              </w:rPr>
            </w:pPr>
            <w:r>
              <w:rPr>
                <w:spacing w:val="-4"/>
                <w:sz w:val="21"/>
              </w:rPr>
              <w:t>无偿献血</w:t>
            </w:r>
            <w:r>
              <w:rPr>
                <w:spacing w:val="-7"/>
                <w:sz w:val="21"/>
              </w:rPr>
              <w:t>工作经费</w:t>
            </w:r>
          </w:p>
        </w:tc>
        <w:tc>
          <w:tcPr>
            <w:tcW w:w="6945" w:type="dxa"/>
          </w:tcPr>
          <w:p>
            <w:pPr>
              <w:pStyle w:val="10"/>
              <w:spacing w:before="60"/>
              <w:rPr>
                <w:sz w:val="21"/>
              </w:rPr>
            </w:pPr>
          </w:p>
          <w:p>
            <w:pPr>
              <w:pStyle w:val="10"/>
              <w:ind w:left="108"/>
              <w:rPr>
                <w:sz w:val="21"/>
              </w:rPr>
            </w:pPr>
            <w:r>
              <w:rPr>
                <w:spacing w:val="-2"/>
                <w:sz w:val="21"/>
              </w:rPr>
              <w:t>47000</w:t>
            </w:r>
            <w:r>
              <w:rPr>
                <w:spacing w:val="-30"/>
                <w:sz w:val="21"/>
              </w:rPr>
              <w:t xml:space="preserve"> 人</w:t>
            </w:r>
          </w:p>
        </w:tc>
        <w:tc>
          <w:tcPr>
            <w:tcW w:w="1425" w:type="dxa"/>
          </w:tcPr>
          <w:p>
            <w:pPr>
              <w:pStyle w:val="10"/>
              <w:spacing w:before="60"/>
              <w:rPr>
                <w:sz w:val="21"/>
              </w:rPr>
            </w:pPr>
          </w:p>
          <w:p>
            <w:pPr>
              <w:pStyle w:val="10"/>
              <w:ind w:left="106"/>
              <w:rPr>
                <w:sz w:val="21"/>
              </w:rPr>
            </w:pPr>
            <w:r>
              <w:rPr>
                <w:spacing w:val="-7"/>
                <w:sz w:val="21"/>
              </w:rPr>
              <w:t>采血人数</w:t>
            </w:r>
          </w:p>
        </w:tc>
        <w:tc>
          <w:tcPr>
            <w:tcW w:w="930" w:type="dxa"/>
          </w:tcPr>
          <w:p>
            <w:pPr>
              <w:pStyle w:val="10"/>
              <w:spacing w:before="18" w:line="276" w:lineRule="auto"/>
              <w:ind w:left="200" w:right="185" w:firstLine="158"/>
              <w:rPr>
                <w:sz w:val="21"/>
              </w:rPr>
            </w:pPr>
            <w:r>
              <w:rPr>
                <w:spacing w:val="-10"/>
                <w:sz w:val="21"/>
              </w:rPr>
              <w:t xml:space="preserve">≧ </w:t>
            </w:r>
            <w:r>
              <w:rPr>
                <w:spacing w:val="-2"/>
                <w:sz w:val="21"/>
              </w:rPr>
              <w:t>47000</w:t>
            </w:r>
          </w:p>
          <w:p>
            <w:pPr>
              <w:pStyle w:val="10"/>
              <w:spacing w:before="1"/>
              <w:ind w:left="253"/>
              <w:rPr>
                <w:sz w:val="21"/>
              </w:rPr>
            </w:pPr>
            <w:r>
              <w:rPr>
                <w:spacing w:val="-8"/>
                <w:sz w:val="21"/>
              </w:rPr>
              <w:t>人份</w:t>
            </w:r>
          </w:p>
        </w:tc>
        <w:tc>
          <w:tcPr>
            <w:tcW w:w="930" w:type="dxa"/>
          </w:tcPr>
          <w:p>
            <w:pPr>
              <w:pStyle w:val="10"/>
              <w:spacing w:before="174"/>
              <w:ind w:left="82" w:right="74"/>
              <w:jc w:val="center"/>
              <w:rPr>
                <w:sz w:val="21"/>
              </w:rPr>
            </w:pPr>
            <w:r>
              <w:rPr>
                <w:spacing w:val="-2"/>
                <w:sz w:val="21"/>
              </w:rPr>
              <w:t>39637</w:t>
            </w:r>
          </w:p>
          <w:p>
            <w:pPr>
              <w:pStyle w:val="10"/>
              <w:spacing w:before="42"/>
              <w:ind w:left="84" w:right="74"/>
              <w:jc w:val="center"/>
              <w:rPr>
                <w:sz w:val="21"/>
              </w:rPr>
            </w:pPr>
            <w:r>
              <w:rPr>
                <w:spacing w:val="-10"/>
                <w:sz w:val="21"/>
              </w:rPr>
              <w:t>人</w:t>
            </w:r>
          </w:p>
        </w:tc>
        <w:tc>
          <w:tcPr>
            <w:tcW w:w="900" w:type="dxa"/>
          </w:tcPr>
          <w:p>
            <w:pPr>
              <w:pStyle w:val="10"/>
              <w:spacing w:before="60"/>
              <w:rPr>
                <w:sz w:val="21"/>
              </w:rPr>
            </w:pPr>
          </w:p>
          <w:p>
            <w:pPr>
              <w:pStyle w:val="10"/>
              <w:ind w:left="51" w:right="44"/>
              <w:jc w:val="center"/>
              <w:rPr>
                <w:sz w:val="21"/>
              </w:rPr>
            </w:pPr>
            <w:r>
              <w:rPr>
                <w:spacing w:val="-2"/>
                <w:sz w:val="21"/>
              </w:rPr>
              <w:t>84.33%</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5" w:hRule="atLeast"/>
        </w:trPr>
        <w:tc>
          <w:tcPr>
            <w:tcW w:w="1196" w:type="dxa"/>
          </w:tcPr>
          <w:p>
            <w:pPr>
              <w:pStyle w:val="10"/>
              <w:spacing w:before="187" w:line="276" w:lineRule="auto"/>
              <w:ind w:left="108" w:right="237"/>
              <w:rPr>
                <w:sz w:val="21"/>
              </w:rPr>
            </w:pPr>
            <w:r>
              <w:rPr>
                <w:spacing w:val="-4"/>
                <w:sz w:val="21"/>
              </w:rPr>
              <w:t>市中心血</w:t>
            </w:r>
            <w:r>
              <w:rPr>
                <w:spacing w:val="-10"/>
                <w:sz w:val="21"/>
              </w:rPr>
              <w:t>站</w:t>
            </w:r>
          </w:p>
        </w:tc>
        <w:tc>
          <w:tcPr>
            <w:tcW w:w="1096" w:type="dxa"/>
          </w:tcPr>
          <w:p>
            <w:pPr>
              <w:pStyle w:val="10"/>
              <w:spacing w:before="28"/>
              <w:ind w:left="107"/>
              <w:rPr>
                <w:sz w:val="21"/>
              </w:rPr>
            </w:pPr>
            <w:r>
              <w:rPr>
                <w:spacing w:val="-7"/>
                <w:sz w:val="21"/>
              </w:rPr>
              <w:t>酶免试剂</w:t>
            </w:r>
          </w:p>
          <w:p>
            <w:pPr>
              <w:pStyle w:val="10"/>
              <w:spacing w:before="5" w:line="310" w:lineRule="atLeast"/>
              <w:ind w:left="107" w:right="138"/>
              <w:rPr>
                <w:sz w:val="21"/>
              </w:rPr>
            </w:pPr>
            <w:r>
              <w:rPr>
                <w:spacing w:val="-4"/>
                <w:sz w:val="21"/>
              </w:rPr>
              <w:t>及耗材购</w:t>
            </w:r>
            <w:r>
              <w:rPr>
                <w:spacing w:val="-6"/>
                <w:sz w:val="21"/>
              </w:rPr>
              <w:t>置费</w:t>
            </w:r>
          </w:p>
        </w:tc>
        <w:tc>
          <w:tcPr>
            <w:tcW w:w="6945" w:type="dxa"/>
          </w:tcPr>
          <w:p>
            <w:pPr>
              <w:pStyle w:val="10"/>
              <w:spacing w:before="69"/>
              <w:rPr>
                <w:sz w:val="21"/>
              </w:rPr>
            </w:pPr>
          </w:p>
          <w:p>
            <w:pPr>
              <w:pStyle w:val="10"/>
              <w:spacing w:before="1"/>
              <w:ind w:left="108"/>
              <w:rPr>
                <w:sz w:val="21"/>
              </w:rPr>
            </w:pPr>
            <w:r>
              <w:rPr>
                <w:spacing w:val="-2"/>
                <w:sz w:val="21"/>
              </w:rPr>
              <w:t>45000</w:t>
            </w:r>
            <w:r>
              <w:rPr>
                <w:spacing w:val="-30"/>
                <w:sz w:val="21"/>
              </w:rPr>
              <w:t xml:space="preserve"> 人</w:t>
            </w:r>
          </w:p>
        </w:tc>
        <w:tc>
          <w:tcPr>
            <w:tcW w:w="1425" w:type="dxa"/>
          </w:tcPr>
          <w:p>
            <w:pPr>
              <w:pStyle w:val="10"/>
              <w:spacing w:before="69"/>
              <w:rPr>
                <w:sz w:val="21"/>
              </w:rPr>
            </w:pPr>
          </w:p>
          <w:p>
            <w:pPr>
              <w:pStyle w:val="10"/>
              <w:spacing w:before="1"/>
              <w:ind w:left="106"/>
              <w:rPr>
                <w:sz w:val="21"/>
              </w:rPr>
            </w:pPr>
            <w:r>
              <w:rPr>
                <w:spacing w:val="-7"/>
                <w:sz w:val="21"/>
              </w:rPr>
              <w:t>检测人数</w:t>
            </w:r>
          </w:p>
        </w:tc>
        <w:tc>
          <w:tcPr>
            <w:tcW w:w="930" w:type="dxa"/>
          </w:tcPr>
          <w:p>
            <w:pPr>
              <w:pStyle w:val="10"/>
              <w:spacing w:before="28" w:line="276" w:lineRule="auto"/>
              <w:ind w:left="200" w:right="185" w:firstLine="158"/>
              <w:rPr>
                <w:sz w:val="21"/>
              </w:rPr>
            </w:pPr>
            <w:r>
              <w:rPr>
                <w:spacing w:val="-10"/>
                <w:sz w:val="21"/>
              </w:rPr>
              <w:t xml:space="preserve">≧ </w:t>
            </w:r>
            <w:r>
              <w:rPr>
                <w:spacing w:val="-2"/>
                <w:sz w:val="21"/>
              </w:rPr>
              <w:t>45000</w:t>
            </w:r>
          </w:p>
          <w:p>
            <w:pPr>
              <w:pStyle w:val="10"/>
              <w:spacing w:before="1"/>
              <w:ind w:left="253"/>
              <w:rPr>
                <w:sz w:val="21"/>
              </w:rPr>
            </w:pPr>
            <w:r>
              <w:rPr>
                <w:spacing w:val="-8"/>
                <w:sz w:val="21"/>
              </w:rPr>
              <w:t>人份</w:t>
            </w:r>
          </w:p>
        </w:tc>
        <w:tc>
          <w:tcPr>
            <w:tcW w:w="930" w:type="dxa"/>
          </w:tcPr>
          <w:p>
            <w:pPr>
              <w:pStyle w:val="10"/>
              <w:spacing w:before="187"/>
              <w:ind w:left="82" w:right="74"/>
              <w:jc w:val="center"/>
              <w:rPr>
                <w:sz w:val="21"/>
              </w:rPr>
            </w:pPr>
            <w:r>
              <w:rPr>
                <w:spacing w:val="-2"/>
                <w:sz w:val="21"/>
              </w:rPr>
              <w:t>39637</w:t>
            </w:r>
          </w:p>
          <w:p>
            <w:pPr>
              <w:pStyle w:val="10"/>
              <w:spacing w:before="41"/>
              <w:ind w:left="84" w:right="74"/>
              <w:jc w:val="center"/>
              <w:rPr>
                <w:sz w:val="21"/>
              </w:rPr>
            </w:pPr>
            <w:r>
              <w:rPr>
                <w:spacing w:val="-10"/>
                <w:sz w:val="21"/>
              </w:rPr>
              <w:t>人</w:t>
            </w:r>
          </w:p>
        </w:tc>
        <w:tc>
          <w:tcPr>
            <w:tcW w:w="900" w:type="dxa"/>
          </w:tcPr>
          <w:p>
            <w:pPr>
              <w:pStyle w:val="10"/>
              <w:spacing w:before="69"/>
              <w:rPr>
                <w:sz w:val="21"/>
              </w:rPr>
            </w:pPr>
          </w:p>
          <w:p>
            <w:pPr>
              <w:pStyle w:val="10"/>
              <w:spacing w:before="1"/>
              <w:ind w:left="51" w:right="44"/>
              <w:jc w:val="center"/>
              <w:rPr>
                <w:sz w:val="21"/>
              </w:rPr>
            </w:pPr>
            <w:r>
              <w:rPr>
                <w:spacing w:val="-2"/>
                <w:sz w:val="21"/>
              </w:rPr>
              <w:t>88.08%</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3" w:hRule="atLeast"/>
        </w:trPr>
        <w:tc>
          <w:tcPr>
            <w:tcW w:w="1196" w:type="dxa"/>
          </w:tcPr>
          <w:p>
            <w:pPr>
              <w:pStyle w:val="10"/>
              <w:spacing w:before="199" w:line="276" w:lineRule="auto"/>
              <w:ind w:left="108" w:right="237"/>
              <w:rPr>
                <w:sz w:val="21"/>
              </w:rPr>
            </w:pPr>
            <w:r>
              <w:rPr>
                <w:spacing w:val="-4"/>
                <w:sz w:val="21"/>
              </w:rPr>
              <w:t>市中心血</w:t>
            </w:r>
            <w:r>
              <w:rPr>
                <w:spacing w:val="-10"/>
                <w:sz w:val="21"/>
              </w:rPr>
              <w:t>站</w:t>
            </w:r>
          </w:p>
        </w:tc>
        <w:tc>
          <w:tcPr>
            <w:tcW w:w="1096" w:type="dxa"/>
          </w:tcPr>
          <w:p>
            <w:pPr>
              <w:pStyle w:val="10"/>
              <w:spacing w:before="85"/>
              <w:rPr>
                <w:sz w:val="21"/>
              </w:rPr>
            </w:pPr>
          </w:p>
          <w:p>
            <w:pPr>
              <w:pStyle w:val="10"/>
              <w:ind w:left="107"/>
              <w:rPr>
                <w:sz w:val="21"/>
              </w:rPr>
            </w:pPr>
            <w:r>
              <w:rPr>
                <w:spacing w:val="-7"/>
                <w:sz w:val="21"/>
              </w:rPr>
              <w:t>设备购置</w:t>
            </w:r>
          </w:p>
        </w:tc>
        <w:tc>
          <w:tcPr>
            <w:tcW w:w="6945" w:type="dxa"/>
          </w:tcPr>
          <w:p>
            <w:pPr>
              <w:pStyle w:val="10"/>
              <w:spacing w:before="85"/>
              <w:rPr>
                <w:sz w:val="21"/>
              </w:rPr>
            </w:pPr>
          </w:p>
          <w:p>
            <w:pPr>
              <w:pStyle w:val="10"/>
              <w:ind w:left="108"/>
              <w:rPr>
                <w:sz w:val="21"/>
              </w:rPr>
            </w:pPr>
            <w:r>
              <w:rPr>
                <w:spacing w:val="-2"/>
                <w:sz w:val="21"/>
              </w:rPr>
              <w:t>8</w:t>
            </w:r>
            <w:r>
              <w:rPr>
                <w:spacing w:val="-32"/>
                <w:sz w:val="21"/>
              </w:rPr>
              <w:t xml:space="preserve"> 台</w:t>
            </w:r>
          </w:p>
        </w:tc>
        <w:tc>
          <w:tcPr>
            <w:tcW w:w="1425" w:type="dxa"/>
          </w:tcPr>
          <w:p>
            <w:pPr>
              <w:pStyle w:val="10"/>
              <w:spacing w:before="85"/>
              <w:rPr>
                <w:sz w:val="21"/>
              </w:rPr>
            </w:pPr>
          </w:p>
          <w:p>
            <w:pPr>
              <w:pStyle w:val="10"/>
              <w:ind w:left="106"/>
              <w:rPr>
                <w:sz w:val="21"/>
              </w:rPr>
            </w:pPr>
            <w:r>
              <w:rPr>
                <w:spacing w:val="-7"/>
                <w:sz w:val="21"/>
              </w:rPr>
              <w:t>采购数量</w:t>
            </w:r>
          </w:p>
        </w:tc>
        <w:tc>
          <w:tcPr>
            <w:tcW w:w="930" w:type="dxa"/>
          </w:tcPr>
          <w:p>
            <w:pPr>
              <w:pStyle w:val="10"/>
              <w:spacing w:before="85"/>
              <w:rPr>
                <w:sz w:val="21"/>
              </w:rPr>
            </w:pPr>
          </w:p>
          <w:p>
            <w:pPr>
              <w:pStyle w:val="10"/>
              <w:ind w:left="79" w:right="74"/>
              <w:jc w:val="center"/>
              <w:rPr>
                <w:sz w:val="21"/>
              </w:rPr>
            </w:pPr>
            <w:r>
              <w:rPr>
                <w:spacing w:val="-2"/>
                <w:sz w:val="21"/>
              </w:rPr>
              <w:t>≧8</w:t>
            </w:r>
            <w:r>
              <w:rPr>
                <w:spacing w:val="-31"/>
                <w:sz w:val="21"/>
              </w:rPr>
              <w:t xml:space="preserve"> 台</w:t>
            </w:r>
          </w:p>
        </w:tc>
        <w:tc>
          <w:tcPr>
            <w:tcW w:w="930" w:type="dxa"/>
          </w:tcPr>
          <w:p>
            <w:pPr>
              <w:pStyle w:val="10"/>
              <w:spacing w:before="85"/>
              <w:rPr>
                <w:sz w:val="21"/>
              </w:rPr>
            </w:pPr>
          </w:p>
          <w:p>
            <w:pPr>
              <w:pStyle w:val="10"/>
              <w:ind w:left="80" w:right="74"/>
              <w:jc w:val="center"/>
              <w:rPr>
                <w:sz w:val="21"/>
              </w:rPr>
            </w:pPr>
            <w:r>
              <w:rPr>
                <w:spacing w:val="-10"/>
                <w:sz w:val="21"/>
              </w:rPr>
              <w:t>8</w:t>
            </w:r>
          </w:p>
        </w:tc>
        <w:tc>
          <w:tcPr>
            <w:tcW w:w="900" w:type="dxa"/>
          </w:tcPr>
          <w:p>
            <w:pPr>
              <w:pStyle w:val="10"/>
              <w:spacing w:before="85"/>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5" w:hRule="atLeast"/>
        </w:trPr>
        <w:tc>
          <w:tcPr>
            <w:tcW w:w="1196" w:type="dxa"/>
          </w:tcPr>
          <w:p>
            <w:pPr>
              <w:pStyle w:val="10"/>
              <w:spacing w:before="249" w:line="276" w:lineRule="auto"/>
              <w:ind w:left="108" w:right="237"/>
              <w:jc w:val="both"/>
              <w:rPr>
                <w:sz w:val="21"/>
              </w:rPr>
            </w:pPr>
            <w:r>
              <w:rPr>
                <w:spacing w:val="-4"/>
                <w:sz w:val="21"/>
              </w:rPr>
              <w:t>市卫生监督执法支</w:t>
            </w:r>
            <w:r>
              <w:rPr>
                <w:spacing w:val="-10"/>
                <w:sz w:val="21"/>
              </w:rPr>
              <w:t>队</w:t>
            </w:r>
          </w:p>
        </w:tc>
        <w:tc>
          <w:tcPr>
            <w:tcW w:w="1096" w:type="dxa"/>
          </w:tcPr>
          <w:p>
            <w:pPr>
              <w:pStyle w:val="10"/>
              <w:spacing w:before="132"/>
              <w:rPr>
                <w:sz w:val="21"/>
              </w:rPr>
            </w:pPr>
          </w:p>
          <w:p>
            <w:pPr>
              <w:pStyle w:val="10"/>
              <w:spacing w:line="276" w:lineRule="auto"/>
              <w:ind w:left="107" w:right="138"/>
              <w:rPr>
                <w:sz w:val="21"/>
              </w:rPr>
            </w:pPr>
            <w:r>
              <w:rPr>
                <w:spacing w:val="-4"/>
                <w:sz w:val="21"/>
              </w:rPr>
              <w:t>卫监设备</w:t>
            </w:r>
            <w:r>
              <w:rPr>
                <w:spacing w:val="-7"/>
                <w:sz w:val="21"/>
              </w:rPr>
              <w:t>购置经费</w:t>
            </w:r>
          </w:p>
        </w:tc>
        <w:tc>
          <w:tcPr>
            <w:tcW w:w="6945" w:type="dxa"/>
          </w:tcPr>
          <w:p>
            <w:pPr>
              <w:pStyle w:val="10"/>
              <w:spacing w:before="132"/>
              <w:rPr>
                <w:sz w:val="21"/>
              </w:rPr>
            </w:pPr>
          </w:p>
          <w:p>
            <w:pPr>
              <w:pStyle w:val="10"/>
              <w:spacing w:line="276" w:lineRule="auto"/>
              <w:ind w:left="108" w:right="-15"/>
              <w:rPr>
                <w:sz w:val="21"/>
              </w:rPr>
            </w:pPr>
            <w:r>
              <w:rPr>
                <w:spacing w:val="-2"/>
                <w:sz w:val="21"/>
              </w:rPr>
              <w:t>2023</w:t>
            </w:r>
            <w:r>
              <w:rPr>
                <w:spacing w:val="-23"/>
                <w:sz w:val="21"/>
              </w:rPr>
              <w:t xml:space="preserve"> 年预算 </w:t>
            </w:r>
            <w:r>
              <w:rPr>
                <w:spacing w:val="-2"/>
                <w:sz w:val="21"/>
              </w:rPr>
              <w:t>5.07</w:t>
            </w:r>
            <w:r>
              <w:rPr>
                <w:spacing w:val="-10"/>
                <w:sz w:val="21"/>
              </w:rPr>
              <w:t xml:space="preserve"> 万元财政资金。单位机构改革用于新增单位会议室桌椅；</w:t>
            </w:r>
            <w:r>
              <w:rPr>
                <w:spacing w:val="-2"/>
                <w:sz w:val="21"/>
              </w:rPr>
              <w:t>会议音响、无线话筒等办公设施设备。</w:t>
            </w:r>
          </w:p>
        </w:tc>
        <w:tc>
          <w:tcPr>
            <w:tcW w:w="1425" w:type="dxa"/>
          </w:tcPr>
          <w:p>
            <w:pPr>
              <w:pStyle w:val="10"/>
              <w:rPr>
                <w:sz w:val="21"/>
              </w:rPr>
            </w:pPr>
          </w:p>
          <w:p>
            <w:pPr>
              <w:pStyle w:val="10"/>
              <w:spacing w:before="17"/>
              <w:rPr>
                <w:sz w:val="21"/>
              </w:rPr>
            </w:pPr>
          </w:p>
          <w:p>
            <w:pPr>
              <w:pStyle w:val="10"/>
              <w:ind w:left="106"/>
              <w:rPr>
                <w:sz w:val="21"/>
              </w:rPr>
            </w:pPr>
            <w:r>
              <w:rPr>
                <w:spacing w:val="-7"/>
                <w:sz w:val="21"/>
              </w:rPr>
              <w:t>设备数量</w:t>
            </w:r>
          </w:p>
        </w:tc>
        <w:tc>
          <w:tcPr>
            <w:tcW w:w="930" w:type="dxa"/>
          </w:tcPr>
          <w:p>
            <w:pPr>
              <w:pStyle w:val="10"/>
              <w:rPr>
                <w:sz w:val="21"/>
              </w:rPr>
            </w:pPr>
          </w:p>
          <w:p>
            <w:pPr>
              <w:pStyle w:val="10"/>
              <w:spacing w:before="17"/>
              <w:rPr>
                <w:sz w:val="21"/>
              </w:rPr>
            </w:pPr>
          </w:p>
          <w:p>
            <w:pPr>
              <w:pStyle w:val="10"/>
              <w:ind w:left="82" w:right="74"/>
              <w:jc w:val="center"/>
              <w:rPr>
                <w:sz w:val="21"/>
              </w:rPr>
            </w:pPr>
            <w:r>
              <w:rPr>
                <w:spacing w:val="-10"/>
                <w:sz w:val="21"/>
              </w:rPr>
              <w:t>1</w:t>
            </w:r>
          </w:p>
        </w:tc>
        <w:tc>
          <w:tcPr>
            <w:tcW w:w="930" w:type="dxa"/>
          </w:tcPr>
          <w:p>
            <w:pPr>
              <w:pStyle w:val="10"/>
              <w:rPr>
                <w:sz w:val="21"/>
              </w:rPr>
            </w:pPr>
          </w:p>
          <w:p>
            <w:pPr>
              <w:pStyle w:val="10"/>
              <w:spacing w:before="17"/>
              <w:rPr>
                <w:sz w:val="21"/>
              </w:rPr>
            </w:pPr>
          </w:p>
          <w:p>
            <w:pPr>
              <w:pStyle w:val="10"/>
              <w:ind w:left="80" w:right="74"/>
              <w:jc w:val="center"/>
              <w:rPr>
                <w:sz w:val="21"/>
              </w:rPr>
            </w:pPr>
            <w:r>
              <w:rPr>
                <w:spacing w:val="-10"/>
                <w:sz w:val="21"/>
              </w:rPr>
              <w:t>1</w:t>
            </w:r>
          </w:p>
        </w:tc>
        <w:tc>
          <w:tcPr>
            <w:tcW w:w="900" w:type="dxa"/>
          </w:tcPr>
          <w:p>
            <w:pPr>
              <w:pStyle w:val="10"/>
              <w:rPr>
                <w:sz w:val="21"/>
              </w:rPr>
            </w:pPr>
          </w:p>
          <w:p>
            <w:pPr>
              <w:pStyle w:val="10"/>
              <w:spacing w:before="17"/>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03" w:hRule="atLeast"/>
        </w:trPr>
        <w:tc>
          <w:tcPr>
            <w:tcW w:w="1196" w:type="dxa"/>
          </w:tcPr>
          <w:p>
            <w:pPr>
              <w:pStyle w:val="10"/>
              <w:rPr>
                <w:sz w:val="21"/>
              </w:rPr>
            </w:pPr>
          </w:p>
          <w:p>
            <w:pPr>
              <w:pStyle w:val="10"/>
              <w:spacing w:before="102"/>
              <w:rPr>
                <w:sz w:val="21"/>
              </w:rPr>
            </w:pPr>
          </w:p>
          <w:p>
            <w:pPr>
              <w:pStyle w:val="10"/>
              <w:spacing w:line="276" w:lineRule="auto"/>
              <w:ind w:left="108" w:right="237"/>
              <w:jc w:val="both"/>
              <w:rPr>
                <w:sz w:val="21"/>
              </w:rPr>
            </w:pPr>
            <w:r>
              <w:rPr>
                <w:spacing w:val="-4"/>
                <w:sz w:val="21"/>
              </w:rPr>
              <w:t>市卫生监督执法支</w:t>
            </w:r>
            <w:r>
              <w:rPr>
                <w:spacing w:val="-10"/>
                <w:sz w:val="21"/>
              </w:rPr>
              <w:t>队</w:t>
            </w:r>
          </w:p>
        </w:tc>
        <w:tc>
          <w:tcPr>
            <w:tcW w:w="1096" w:type="dxa"/>
          </w:tcPr>
          <w:p>
            <w:pPr>
              <w:pStyle w:val="10"/>
              <w:rPr>
                <w:sz w:val="21"/>
              </w:rPr>
            </w:pPr>
          </w:p>
          <w:p>
            <w:pPr>
              <w:pStyle w:val="10"/>
              <w:spacing w:before="258"/>
              <w:rPr>
                <w:sz w:val="21"/>
              </w:rPr>
            </w:pPr>
          </w:p>
          <w:p>
            <w:pPr>
              <w:pStyle w:val="10"/>
              <w:spacing w:line="276" w:lineRule="auto"/>
              <w:ind w:left="107" w:right="138"/>
              <w:rPr>
                <w:sz w:val="21"/>
              </w:rPr>
            </w:pPr>
            <w:r>
              <w:rPr>
                <w:spacing w:val="-4"/>
                <w:sz w:val="21"/>
              </w:rPr>
              <w:t>行政执法</w:t>
            </w:r>
            <w:r>
              <w:rPr>
                <w:spacing w:val="-7"/>
                <w:sz w:val="21"/>
              </w:rPr>
              <w:t>工作经费</w:t>
            </w:r>
          </w:p>
        </w:tc>
        <w:tc>
          <w:tcPr>
            <w:tcW w:w="6945" w:type="dxa"/>
          </w:tcPr>
          <w:p>
            <w:pPr>
              <w:pStyle w:val="10"/>
              <w:spacing w:before="17" w:line="278" w:lineRule="auto"/>
              <w:ind w:left="108" w:right="85"/>
              <w:jc w:val="both"/>
              <w:rPr>
                <w:sz w:val="21"/>
              </w:rPr>
            </w:pPr>
            <w:r>
              <w:rPr>
                <w:spacing w:val="-14"/>
                <w:sz w:val="21"/>
              </w:rPr>
              <w:t xml:space="preserve">在 </w:t>
            </w:r>
            <w:r>
              <w:rPr>
                <w:spacing w:val="-18"/>
                <w:sz w:val="21"/>
              </w:rPr>
              <w:t>2023</w:t>
            </w:r>
            <w:r>
              <w:rPr>
                <w:spacing w:val="-15"/>
                <w:sz w:val="21"/>
              </w:rPr>
              <w:t xml:space="preserve"> 年预算 </w:t>
            </w:r>
            <w:r>
              <w:rPr>
                <w:spacing w:val="-18"/>
                <w:sz w:val="21"/>
              </w:rPr>
              <w:t>19.43 万元财政资金，其中行政性事业收费拨款 1.47</w:t>
            </w:r>
            <w:r>
              <w:rPr>
                <w:spacing w:val="-17"/>
                <w:sz w:val="21"/>
              </w:rPr>
              <w:t xml:space="preserve"> 万元。用</w:t>
            </w:r>
            <w:r>
              <w:rPr>
                <w:spacing w:val="-12"/>
                <w:sz w:val="21"/>
              </w:rPr>
              <w:t>于依法完成涉及卫生健康违法行为案件的查办，加大执法力度，强化随机监督抽查工作和专项监督检查，提高执法质量。做好迎接国家卫生城市复审相关工作，开展公共场所、二次供水、生活饮用水监督工作；打击非法行医工作；传染病防治、食品安全和学校卫生监督工作；职业病防治与放射诊疗卫生监督工</w:t>
            </w:r>
            <w:r>
              <w:rPr>
                <w:spacing w:val="-14"/>
                <w:sz w:val="21"/>
              </w:rPr>
              <w:t>作；卫生监督稽查与信息工作等。促进卫生健康事业健康发展，从而维护人民</w:t>
            </w:r>
          </w:p>
          <w:p>
            <w:pPr>
              <w:pStyle w:val="10"/>
              <w:spacing w:line="264" w:lineRule="exact"/>
              <w:ind w:left="108"/>
              <w:rPr>
                <w:sz w:val="21"/>
              </w:rPr>
            </w:pPr>
            <w:r>
              <w:rPr>
                <w:spacing w:val="-14"/>
                <w:sz w:val="21"/>
              </w:rPr>
              <w:t>群众健康权益。</w:t>
            </w:r>
          </w:p>
        </w:tc>
        <w:tc>
          <w:tcPr>
            <w:tcW w:w="1425" w:type="dxa"/>
          </w:tcPr>
          <w:p>
            <w:pPr>
              <w:pStyle w:val="10"/>
              <w:rPr>
                <w:sz w:val="21"/>
              </w:rPr>
            </w:pPr>
          </w:p>
          <w:p>
            <w:pPr>
              <w:pStyle w:val="10"/>
              <w:spacing w:before="258"/>
              <w:rPr>
                <w:sz w:val="21"/>
              </w:rPr>
            </w:pPr>
          </w:p>
          <w:p>
            <w:pPr>
              <w:pStyle w:val="10"/>
              <w:spacing w:line="276" w:lineRule="auto"/>
              <w:ind w:left="106" w:right="257"/>
              <w:rPr>
                <w:sz w:val="21"/>
              </w:rPr>
            </w:pPr>
            <w:r>
              <w:rPr>
                <w:spacing w:val="-2"/>
                <w:sz w:val="21"/>
              </w:rPr>
              <w:t>工作任务完</w:t>
            </w:r>
            <w:r>
              <w:rPr>
                <w:spacing w:val="-6"/>
                <w:sz w:val="21"/>
              </w:rPr>
              <w:t>成率</w:t>
            </w:r>
          </w:p>
        </w:tc>
        <w:tc>
          <w:tcPr>
            <w:tcW w:w="930" w:type="dxa"/>
          </w:tcPr>
          <w:p>
            <w:pPr>
              <w:pStyle w:val="10"/>
              <w:rPr>
                <w:sz w:val="21"/>
              </w:rPr>
            </w:pPr>
          </w:p>
          <w:p>
            <w:pPr>
              <w:pStyle w:val="10"/>
              <w:rPr>
                <w:sz w:val="21"/>
              </w:rPr>
            </w:pPr>
          </w:p>
          <w:p>
            <w:pPr>
              <w:pStyle w:val="10"/>
              <w:spacing w:before="144"/>
              <w:rPr>
                <w:sz w:val="21"/>
              </w:rPr>
            </w:pPr>
          </w:p>
          <w:p>
            <w:pPr>
              <w:pStyle w:val="10"/>
              <w:ind w:left="82" w:right="74"/>
              <w:jc w:val="center"/>
              <w:rPr>
                <w:sz w:val="21"/>
              </w:rPr>
            </w:pPr>
            <w:r>
              <w:rPr>
                <w:spacing w:val="-5"/>
                <w:sz w:val="21"/>
              </w:rPr>
              <w:t>100</w:t>
            </w:r>
          </w:p>
        </w:tc>
        <w:tc>
          <w:tcPr>
            <w:tcW w:w="930" w:type="dxa"/>
          </w:tcPr>
          <w:p>
            <w:pPr>
              <w:pStyle w:val="10"/>
              <w:rPr>
                <w:sz w:val="21"/>
              </w:rPr>
            </w:pPr>
          </w:p>
          <w:p>
            <w:pPr>
              <w:pStyle w:val="10"/>
              <w:rPr>
                <w:sz w:val="21"/>
              </w:rPr>
            </w:pPr>
          </w:p>
          <w:p>
            <w:pPr>
              <w:pStyle w:val="10"/>
              <w:spacing w:before="144"/>
              <w:rPr>
                <w:sz w:val="21"/>
              </w:rPr>
            </w:pPr>
          </w:p>
          <w:p>
            <w:pPr>
              <w:pStyle w:val="10"/>
              <w:ind w:left="85" w:right="74"/>
              <w:jc w:val="center"/>
              <w:rPr>
                <w:sz w:val="21"/>
              </w:rPr>
            </w:pPr>
            <w:r>
              <w:rPr>
                <w:spacing w:val="-5"/>
                <w:sz w:val="21"/>
              </w:rPr>
              <w:t>100</w:t>
            </w:r>
          </w:p>
        </w:tc>
        <w:tc>
          <w:tcPr>
            <w:tcW w:w="900" w:type="dxa"/>
          </w:tcPr>
          <w:p>
            <w:pPr>
              <w:pStyle w:val="10"/>
              <w:rPr>
                <w:sz w:val="21"/>
              </w:rPr>
            </w:pPr>
          </w:p>
          <w:p>
            <w:pPr>
              <w:pStyle w:val="10"/>
              <w:rPr>
                <w:sz w:val="21"/>
              </w:rPr>
            </w:pPr>
          </w:p>
          <w:p>
            <w:pPr>
              <w:pStyle w:val="10"/>
              <w:spacing w:before="144"/>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bl>
    <w:p>
      <w:pPr>
        <w:pStyle w:val="10"/>
        <w:spacing w:after="0"/>
        <w:rPr>
          <w:rFonts w:ascii="Times New Roman"/>
          <w:sz w:val="20"/>
        </w:rPr>
        <w:sectPr>
          <w:pgSz w:w="16840" w:h="11910" w:orient="landscape"/>
          <w:pgMar w:top="1340" w:right="1559" w:bottom="1060" w:left="1559" w:header="0" w:footer="864" w:gutter="0"/>
          <w:cols w:space="720" w:num="1"/>
        </w:sectPr>
      </w:pPr>
    </w:p>
    <w:p>
      <w:pPr>
        <w:pStyle w:val="4"/>
        <w:spacing w:before="4"/>
        <w:ind w:left="0"/>
        <w:rPr>
          <w:sz w:val="14"/>
        </w:rPr>
      </w:pPr>
    </w:p>
    <w:tbl>
      <w:tblPr>
        <w:tblStyle w:val="6"/>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6"/>
        <w:gridCol w:w="1096"/>
        <w:gridCol w:w="6945"/>
        <w:gridCol w:w="1425"/>
        <w:gridCol w:w="930"/>
        <w:gridCol w:w="930"/>
        <w:gridCol w:w="900"/>
        <w:gridCol w:w="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3" w:hRule="atLeast"/>
        </w:trPr>
        <w:tc>
          <w:tcPr>
            <w:tcW w:w="1196" w:type="dxa"/>
          </w:tcPr>
          <w:p>
            <w:pPr>
              <w:pStyle w:val="10"/>
              <w:spacing w:before="188"/>
              <w:rPr>
                <w:sz w:val="21"/>
              </w:rPr>
            </w:pPr>
          </w:p>
          <w:p>
            <w:pPr>
              <w:pStyle w:val="10"/>
              <w:spacing w:line="278" w:lineRule="auto"/>
              <w:ind w:left="108" w:right="237"/>
              <w:jc w:val="both"/>
              <w:rPr>
                <w:sz w:val="21"/>
              </w:rPr>
            </w:pPr>
            <w:r>
              <w:rPr>
                <w:spacing w:val="-4"/>
                <w:sz w:val="21"/>
              </w:rPr>
              <w:t>市卫生监督执法支</w:t>
            </w:r>
            <w:r>
              <w:rPr>
                <w:spacing w:val="-10"/>
                <w:sz w:val="21"/>
              </w:rPr>
              <w:t>队</w:t>
            </w:r>
          </w:p>
        </w:tc>
        <w:tc>
          <w:tcPr>
            <w:tcW w:w="1096" w:type="dxa"/>
          </w:tcPr>
          <w:p>
            <w:pPr>
              <w:pStyle w:val="10"/>
              <w:rPr>
                <w:sz w:val="21"/>
              </w:rPr>
            </w:pPr>
          </w:p>
          <w:p>
            <w:pPr>
              <w:pStyle w:val="10"/>
              <w:spacing w:before="73"/>
              <w:rPr>
                <w:sz w:val="21"/>
              </w:rPr>
            </w:pPr>
          </w:p>
          <w:p>
            <w:pPr>
              <w:pStyle w:val="10"/>
              <w:spacing w:before="1" w:line="276" w:lineRule="auto"/>
              <w:ind w:left="107" w:right="138"/>
              <w:rPr>
                <w:sz w:val="21"/>
              </w:rPr>
            </w:pPr>
            <w:r>
              <w:rPr>
                <w:spacing w:val="-4"/>
                <w:sz w:val="21"/>
              </w:rPr>
              <w:t>行政许可</w:t>
            </w:r>
            <w:r>
              <w:rPr>
                <w:spacing w:val="-7"/>
                <w:sz w:val="21"/>
              </w:rPr>
              <w:t>工作经费</w:t>
            </w:r>
          </w:p>
        </w:tc>
        <w:tc>
          <w:tcPr>
            <w:tcW w:w="6945" w:type="dxa"/>
          </w:tcPr>
          <w:p>
            <w:pPr>
              <w:pStyle w:val="10"/>
              <w:spacing w:before="147" w:line="276" w:lineRule="auto"/>
              <w:ind w:left="108" w:right="106"/>
              <w:jc w:val="both"/>
              <w:rPr>
                <w:sz w:val="21"/>
              </w:rPr>
            </w:pPr>
            <w:r>
              <w:rPr>
                <w:spacing w:val="-2"/>
                <w:sz w:val="21"/>
              </w:rPr>
              <w:t>优质、高效的完成公共场所卫生许可饮用水供水单位卫生许可、医疗机构设置审批执业登记、放射源诊疗和医用辐射机构许、医疗广告审查、麻醉药品和第一类精神药品购用许可、外籍医师来华短期执业许可、除利用新材料新工艺和新化学物质生产的涉水产品卫生许可、消毒产品生产企业卫生许可等咨询解答、受理、制证工作；行风建设；群众满意率≥90%。</w:t>
            </w:r>
          </w:p>
        </w:tc>
        <w:tc>
          <w:tcPr>
            <w:tcW w:w="1425" w:type="dxa"/>
          </w:tcPr>
          <w:p>
            <w:pPr>
              <w:pStyle w:val="10"/>
              <w:rPr>
                <w:sz w:val="21"/>
              </w:rPr>
            </w:pPr>
          </w:p>
          <w:p>
            <w:pPr>
              <w:pStyle w:val="10"/>
              <w:spacing w:before="232"/>
              <w:rPr>
                <w:sz w:val="21"/>
              </w:rPr>
            </w:pPr>
          </w:p>
          <w:p>
            <w:pPr>
              <w:pStyle w:val="10"/>
              <w:ind w:left="106"/>
              <w:rPr>
                <w:sz w:val="21"/>
              </w:rPr>
            </w:pPr>
            <w:r>
              <w:rPr>
                <w:spacing w:val="-7"/>
                <w:sz w:val="21"/>
              </w:rPr>
              <w:t>办件数量</w:t>
            </w:r>
          </w:p>
        </w:tc>
        <w:tc>
          <w:tcPr>
            <w:tcW w:w="930" w:type="dxa"/>
          </w:tcPr>
          <w:p>
            <w:pPr>
              <w:pStyle w:val="10"/>
              <w:rPr>
                <w:sz w:val="21"/>
              </w:rPr>
            </w:pPr>
          </w:p>
          <w:p>
            <w:pPr>
              <w:pStyle w:val="10"/>
              <w:spacing w:before="232"/>
              <w:rPr>
                <w:sz w:val="21"/>
              </w:rPr>
            </w:pPr>
          </w:p>
          <w:p>
            <w:pPr>
              <w:pStyle w:val="10"/>
              <w:ind w:left="82" w:right="74"/>
              <w:jc w:val="center"/>
              <w:rPr>
                <w:sz w:val="21"/>
              </w:rPr>
            </w:pPr>
            <w:r>
              <w:rPr>
                <w:spacing w:val="-5"/>
                <w:sz w:val="21"/>
              </w:rPr>
              <w:t>450</w:t>
            </w:r>
          </w:p>
        </w:tc>
        <w:tc>
          <w:tcPr>
            <w:tcW w:w="930" w:type="dxa"/>
          </w:tcPr>
          <w:p>
            <w:pPr>
              <w:pStyle w:val="10"/>
              <w:rPr>
                <w:sz w:val="21"/>
              </w:rPr>
            </w:pPr>
          </w:p>
          <w:p>
            <w:pPr>
              <w:pStyle w:val="10"/>
              <w:spacing w:before="232"/>
              <w:rPr>
                <w:sz w:val="21"/>
              </w:rPr>
            </w:pPr>
          </w:p>
          <w:p>
            <w:pPr>
              <w:pStyle w:val="10"/>
              <w:ind w:left="85" w:right="74"/>
              <w:jc w:val="center"/>
              <w:rPr>
                <w:sz w:val="21"/>
              </w:rPr>
            </w:pPr>
            <w:r>
              <w:rPr>
                <w:spacing w:val="-5"/>
                <w:sz w:val="21"/>
              </w:rPr>
              <w:t>450</w:t>
            </w:r>
          </w:p>
        </w:tc>
        <w:tc>
          <w:tcPr>
            <w:tcW w:w="900" w:type="dxa"/>
          </w:tcPr>
          <w:p>
            <w:pPr>
              <w:pStyle w:val="10"/>
              <w:rPr>
                <w:sz w:val="21"/>
              </w:rPr>
            </w:pPr>
          </w:p>
          <w:p>
            <w:pPr>
              <w:pStyle w:val="10"/>
              <w:spacing w:before="232"/>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1" w:hRule="atLeast"/>
        </w:trPr>
        <w:tc>
          <w:tcPr>
            <w:tcW w:w="1196" w:type="dxa"/>
          </w:tcPr>
          <w:p>
            <w:pPr>
              <w:pStyle w:val="10"/>
              <w:spacing w:before="126"/>
              <w:rPr>
                <w:sz w:val="21"/>
              </w:rPr>
            </w:pPr>
          </w:p>
          <w:p>
            <w:pPr>
              <w:pStyle w:val="10"/>
              <w:spacing w:line="276" w:lineRule="auto"/>
              <w:ind w:left="108" w:right="237"/>
              <w:rPr>
                <w:sz w:val="21"/>
              </w:rPr>
            </w:pPr>
            <w:r>
              <w:rPr>
                <w:spacing w:val="-4"/>
                <w:sz w:val="21"/>
              </w:rPr>
              <w:t>紧急医疗</w:t>
            </w:r>
            <w:r>
              <w:rPr>
                <w:spacing w:val="-7"/>
                <w:sz w:val="21"/>
              </w:rPr>
              <w:t>救援中心</w:t>
            </w:r>
          </w:p>
        </w:tc>
        <w:tc>
          <w:tcPr>
            <w:tcW w:w="1096" w:type="dxa"/>
          </w:tcPr>
          <w:p>
            <w:pPr>
              <w:pStyle w:val="10"/>
              <w:spacing w:before="241" w:line="278" w:lineRule="auto"/>
              <w:ind w:left="107" w:right="138"/>
              <w:jc w:val="both"/>
              <w:rPr>
                <w:sz w:val="21"/>
              </w:rPr>
            </w:pPr>
            <w:r>
              <w:rPr>
                <w:sz w:val="21"/>
              </w:rPr>
              <w:t>120</w:t>
            </w:r>
            <w:r>
              <w:rPr>
                <w:spacing w:val="-10"/>
                <w:sz w:val="21"/>
              </w:rPr>
              <w:t xml:space="preserve"> 指挥</w:t>
            </w:r>
            <w:r>
              <w:rPr>
                <w:spacing w:val="-4"/>
                <w:sz w:val="21"/>
              </w:rPr>
              <w:t>调度系统运行经</w:t>
            </w:r>
            <w:r>
              <w:rPr>
                <w:spacing w:val="-12"/>
                <w:sz w:val="21"/>
              </w:rPr>
              <w:t>费</w:t>
            </w:r>
          </w:p>
        </w:tc>
        <w:tc>
          <w:tcPr>
            <w:tcW w:w="6945" w:type="dxa"/>
          </w:tcPr>
          <w:p>
            <w:pPr>
              <w:pStyle w:val="10"/>
              <w:spacing w:before="241" w:line="278" w:lineRule="auto"/>
              <w:ind w:left="108" w:right="106"/>
              <w:jc w:val="both"/>
              <w:rPr>
                <w:sz w:val="21"/>
              </w:rPr>
            </w:pPr>
            <w:r>
              <w:rPr>
                <w:spacing w:val="-2"/>
                <w:sz w:val="21"/>
              </w:rPr>
              <w:t>利用计算机网络、语音处理、通信网络及车辆卫星定位等信息技术，实现对区域内院前急救资源的综合管理禾对急救事件、突发事件及灾害事件的分析、计划、组织、协调和及时的控制等。</w:t>
            </w:r>
          </w:p>
        </w:tc>
        <w:tc>
          <w:tcPr>
            <w:tcW w:w="1425" w:type="dxa"/>
          </w:tcPr>
          <w:p>
            <w:pPr>
              <w:pStyle w:val="10"/>
              <w:rPr>
                <w:sz w:val="21"/>
              </w:rPr>
            </w:pPr>
          </w:p>
          <w:p>
            <w:pPr>
              <w:pStyle w:val="10"/>
              <w:spacing w:before="9"/>
              <w:rPr>
                <w:sz w:val="21"/>
              </w:rPr>
            </w:pPr>
          </w:p>
          <w:p>
            <w:pPr>
              <w:pStyle w:val="10"/>
              <w:ind w:left="106"/>
              <w:rPr>
                <w:sz w:val="21"/>
              </w:rPr>
            </w:pPr>
            <w:r>
              <w:rPr>
                <w:spacing w:val="-7"/>
                <w:sz w:val="21"/>
              </w:rPr>
              <w:t>平台数量</w:t>
            </w:r>
          </w:p>
        </w:tc>
        <w:tc>
          <w:tcPr>
            <w:tcW w:w="930" w:type="dxa"/>
          </w:tcPr>
          <w:p>
            <w:pPr>
              <w:pStyle w:val="10"/>
              <w:rPr>
                <w:sz w:val="21"/>
              </w:rPr>
            </w:pPr>
          </w:p>
          <w:p>
            <w:pPr>
              <w:pStyle w:val="10"/>
              <w:spacing w:before="9"/>
              <w:rPr>
                <w:sz w:val="21"/>
              </w:rPr>
            </w:pPr>
          </w:p>
          <w:p>
            <w:pPr>
              <w:pStyle w:val="10"/>
              <w:ind w:left="82" w:right="74"/>
              <w:jc w:val="center"/>
              <w:rPr>
                <w:sz w:val="21"/>
              </w:rPr>
            </w:pPr>
            <w:r>
              <w:rPr>
                <w:spacing w:val="-10"/>
                <w:sz w:val="21"/>
              </w:rPr>
              <w:t>1</w:t>
            </w:r>
          </w:p>
        </w:tc>
        <w:tc>
          <w:tcPr>
            <w:tcW w:w="930" w:type="dxa"/>
          </w:tcPr>
          <w:p>
            <w:pPr>
              <w:pStyle w:val="10"/>
              <w:rPr>
                <w:sz w:val="21"/>
              </w:rPr>
            </w:pPr>
          </w:p>
          <w:p>
            <w:pPr>
              <w:pStyle w:val="10"/>
              <w:spacing w:before="9"/>
              <w:rPr>
                <w:sz w:val="21"/>
              </w:rPr>
            </w:pPr>
          </w:p>
          <w:p>
            <w:pPr>
              <w:pStyle w:val="10"/>
              <w:ind w:left="80" w:right="74"/>
              <w:jc w:val="center"/>
              <w:rPr>
                <w:sz w:val="21"/>
              </w:rPr>
            </w:pPr>
            <w:r>
              <w:rPr>
                <w:spacing w:val="-10"/>
                <w:sz w:val="21"/>
              </w:rPr>
              <w:t>1</w:t>
            </w:r>
          </w:p>
        </w:tc>
        <w:tc>
          <w:tcPr>
            <w:tcW w:w="900" w:type="dxa"/>
          </w:tcPr>
          <w:p>
            <w:pPr>
              <w:pStyle w:val="10"/>
              <w:rPr>
                <w:sz w:val="21"/>
              </w:rPr>
            </w:pPr>
          </w:p>
          <w:p>
            <w:pPr>
              <w:pStyle w:val="10"/>
              <w:spacing w:before="9"/>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25" w:hRule="atLeast"/>
        </w:trPr>
        <w:tc>
          <w:tcPr>
            <w:tcW w:w="1196" w:type="dxa"/>
          </w:tcPr>
          <w:p>
            <w:pPr>
              <w:pStyle w:val="10"/>
              <w:spacing w:before="141"/>
              <w:rPr>
                <w:sz w:val="21"/>
              </w:rPr>
            </w:pPr>
          </w:p>
          <w:p>
            <w:pPr>
              <w:pStyle w:val="10"/>
              <w:spacing w:line="278" w:lineRule="auto"/>
              <w:ind w:left="108" w:right="237"/>
              <w:rPr>
                <w:sz w:val="21"/>
              </w:rPr>
            </w:pPr>
            <w:r>
              <w:rPr>
                <w:spacing w:val="-4"/>
                <w:sz w:val="21"/>
              </w:rPr>
              <w:t>紧急医疗</w:t>
            </w:r>
            <w:r>
              <w:rPr>
                <w:spacing w:val="-7"/>
                <w:sz w:val="21"/>
              </w:rPr>
              <w:t>救援中心</w:t>
            </w:r>
          </w:p>
        </w:tc>
        <w:tc>
          <w:tcPr>
            <w:tcW w:w="1096" w:type="dxa"/>
          </w:tcPr>
          <w:p>
            <w:pPr>
              <w:pStyle w:val="10"/>
              <w:spacing w:before="100" w:line="276" w:lineRule="auto"/>
              <w:ind w:left="107" w:right="138"/>
              <w:jc w:val="both"/>
              <w:rPr>
                <w:sz w:val="21"/>
              </w:rPr>
            </w:pPr>
            <w:r>
              <w:rPr>
                <w:spacing w:val="-4"/>
                <w:sz w:val="21"/>
              </w:rPr>
              <w:t>突发事件应急处置应急物资</w:t>
            </w:r>
            <w:r>
              <w:rPr>
                <w:spacing w:val="-7"/>
                <w:sz w:val="21"/>
              </w:rPr>
              <w:t>及宣传费</w:t>
            </w:r>
          </w:p>
        </w:tc>
        <w:tc>
          <w:tcPr>
            <w:tcW w:w="6945" w:type="dxa"/>
          </w:tcPr>
          <w:p>
            <w:pPr>
              <w:pStyle w:val="10"/>
              <w:spacing w:before="258" w:line="276" w:lineRule="auto"/>
              <w:ind w:left="108" w:right="106"/>
              <w:jc w:val="both"/>
              <w:rPr>
                <w:sz w:val="21"/>
              </w:rPr>
            </w:pPr>
            <w:r>
              <w:rPr>
                <w:spacing w:val="-2"/>
                <w:sz w:val="21"/>
              </w:rPr>
              <w:t>利用计算机网络、语音处理、通信网络及车辆卫星定位等信息技术，实现对区域内院前急救资源的综合管理禾对急救事件、突发事件及灾害事件的分析、计划、组织、协调和及时的控制等。</w:t>
            </w:r>
          </w:p>
        </w:tc>
        <w:tc>
          <w:tcPr>
            <w:tcW w:w="1425" w:type="dxa"/>
          </w:tcPr>
          <w:p>
            <w:pPr>
              <w:pStyle w:val="10"/>
              <w:spacing w:before="141"/>
              <w:rPr>
                <w:sz w:val="21"/>
              </w:rPr>
            </w:pPr>
          </w:p>
          <w:p>
            <w:pPr>
              <w:pStyle w:val="10"/>
              <w:spacing w:line="278" w:lineRule="auto"/>
              <w:ind w:left="106" w:right="257"/>
              <w:rPr>
                <w:sz w:val="21"/>
              </w:rPr>
            </w:pPr>
            <w:r>
              <w:rPr>
                <w:spacing w:val="-2"/>
                <w:sz w:val="21"/>
              </w:rPr>
              <w:t>购买应急救</w:t>
            </w:r>
            <w:r>
              <w:rPr>
                <w:spacing w:val="-4"/>
                <w:sz w:val="21"/>
              </w:rPr>
              <w:t>援物资件数</w:t>
            </w:r>
          </w:p>
        </w:tc>
        <w:tc>
          <w:tcPr>
            <w:tcW w:w="930" w:type="dxa"/>
          </w:tcPr>
          <w:p>
            <w:pPr>
              <w:pStyle w:val="10"/>
              <w:rPr>
                <w:sz w:val="21"/>
              </w:rPr>
            </w:pPr>
          </w:p>
          <w:p>
            <w:pPr>
              <w:pStyle w:val="10"/>
              <w:spacing w:before="26"/>
              <w:rPr>
                <w:sz w:val="21"/>
              </w:rPr>
            </w:pPr>
          </w:p>
          <w:p>
            <w:pPr>
              <w:pStyle w:val="10"/>
              <w:ind w:left="80" w:right="74"/>
              <w:jc w:val="center"/>
              <w:rPr>
                <w:sz w:val="21"/>
              </w:rPr>
            </w:pPr>
            <w:r>
              <w:rPr>
                <w:spacing w:val="-2"/>
                <w:sz w:val="21"/>
              </w:rPr>
              <w:t>10000</w:t>
            </w:r>
          </w:p>
        </w:tc>
        <w:tc>
          <w:tcPr>
            <w:tcW w:w="930" w:type="dxa"/>
          </w:tcPr>
          <w:p>
            <w:pPr>
              <w:pStyle w:val="10"/>
              <w:rPr>
                <w:sz w:val="21"/>
              </w:rPr>
            </w:pPr>
          </w:p>
          <w:p>
            <w:pPr>
              <w:pStyle w:val="10"/>
              <w:spacing w:before="26"/>
              <w:rPr>
                <w:sz w:val="21"/>
              </w:rPr>
            </w:pPr>
          </w:p>
          <w:p>
            <w:pPr>
              <w:pStyle w:val="10"/>
              <w:ind w:left="82" w:right="74"/>
              <w:jc w:val="center"/>
              <w:rPr>
                <w:sz w:val="21"/>
              </w:rPr>
            </w:pPr>
            <w:r>
              <w:rPr>
                <w:spacing w:val="-2"/>
                <w:sz w:val="21"/>
              </w:rPr>
              <w:t>10000</w:t>
            </w:r>
          </w:p>
        </w:tc>
        <w:tc>
          <w:tcPr>
            <w:tcW w:w="900" w:type="dxa"/>
          </w:tcPr>
          <w:p>
            <w:pPr>
              <w:pStyle w:val="10"/>
              <w:rPr>
                <w:sz w:val="21"/>
              </w:rPr>
            </w:pPr>
          </w:p>
          <w:p>
            <w:pPr>
              <w:pStyle w:val="10"/>
              <w:spacing w:before="26"/>
              <w:rPr>
                <w:sz w:val="21"/>
              </w:rPr>
            </w:pPr>
          </w:p>
          <w:p>
            <w:pPr>
              <w:pStyle w:val="10"/>
              <w:ind w:left="54" w:right="44"/>
              <w:jc w:val="center"/>
              <w:rPr>
                <w:sz w:val="21"/>
              </w:rPr>
            </w:pPr>
            <w:r>
              <w:rPr>
                <w:spacing w:val="-4"/>
                <w:sz w:val="21"/>
              </w:rPr>
              <w:t>100%</w:t>
            </w:r>
          </w:p>
        </w:tc>
        <w:tc>
          <w:tcPr>
            <w:tcW w:w="240" w:type="dxa"/>
          </w:tcPr>
          <w:p>
            <w:pPr>
              <w:pStyle w:val="10"/>
              <w:rPr>
                <w:rFonts w:ascii="Times New Roman"/>
                <w:sz w:val="20"/>
              </w:rPr>
            </w:pPr>
          </w:p>
        </w:tc>
      </w:tr>
    </w:tbl>
    <w:p>
      <w:pPr>
        <w:pStyle w:val="10"/>
        <w:spacing w:after="0"/>
        <w:rPr>
          <w:rFonts w:ascii="Times New Roman"/>
          <w:sz w:val="20"/>
        </w:rPr>
        <w:sectPr>
          <w:pgSz w:w="16840" w:h="11910" w:orient="landscape"/>
          <w:pgMar w:top="1340" w:right="1559" w:bottom="1060" w:left="1559" w:header="0" w:footer="864" w:gutter="0"/>
          <w:cols w:space="720" w:num="1"/>
        </w:sectPr>
      </w:pPr>
    </w:p>
    <w:p>
      <w:pPr>
        <w:pStyle w:val="9"/>
        <w:numPr>
          <w:ilvl w:val="0"/>
          <w:numId w:val="11"/>
        </w:numPr>
        <w:tabs>
          <w:tab w:val="left" w:pos="1073"/>
        </w:tabs>
        <w:spacing w:before="29" w:after="0" w:line="240" w:lineRule="auto"/>
        <w:ind w:left="1073" w:right="0" w:hanging="318"/>
        <w:jc w:val="left"/>
        <w:rPr>
          <w:sz w:val="32"/>
        </w:rPr>
      </w:pPr>
      <w:r>
        <w:rPr>
          <w:spacing w:val="-6"/>
          <w:sz w:val="32"/>
        </w:rPr>
        <w:t>支出控制。</w:t>
      </w:r>
    </w:p>
    <w:p>
      <w:pPr>
        <w:pStyle w:val="4"/>
        <w:spacing w:before="83" w:line="288" w:lineRule="auto"/>
        <w:ind w:right="255" w:firstLine="640"/>
        <w:jc w:val="both"/>
      </w:pPr>
      <w:r>
        <w:rPr>
          <w:spacing w:val="-5"/>
        </w:rPr>
        <w:t xml:space="preserve">支出控制较到位。市卫生健康委 </w:t>
      </w:r>
      <w:r>
        <w:rPr>
          <w:spacing w:val="-2"/>
        </w:rPr>
        <w:t>2023</w:t>
      </w:r>
      <w:r>
        <w:rPr>
          <w:spacing w:val="-8"/>
        </w:rPr>
        <w:t xml:space="preserve"> 年度办公费与印刷费</w:t>
      </w:r>
      <w:r>
        <w:rPr>
          <w:spacing w:val="-9"/>
        </w:rPr>
        <w:t>的实际支出均未超过年初预算，公用经费已编制预算。整体支出</w:t>
      </w:r>
      <w:r>
        <w:rPr>
          <w:spacing w:val="-2"/>
        </w:rPr>
        <w:t>未超出年初预算，无偏差。</w:t>
      </w:r>
    </w:p>
    <w:p>
      <w:pPr>
        <w:pStyle w:val="9"/>
        <w:numPr>
          <w:ilvl w:val="0"/>
          <w:numId w:val="11"/>
        </w:numPr>
        <w:tabs>
          <w:tab w:val="left" w:pos="1072"/>
        </w:tabs>
        <w:spacing w:before="19" w:after="0" w:line="300" w:lineRule="auto"/>
        <w:ind w:left="114" w:right="255" w:firstLine="640"/>
        <w:jc w:val="both"/>
        <w:rPr>
          <w:sz w:val="32"/>
        </w:rPr>
      </w:pPr>
      <w:r>
        <w:rPr>
          <w:spacing w:val="-13"/>
          <w:sz w:val="32"/>
        </w:rPr>
        <w:t>及时处置，经事中绩效监控的实行，我委开展两次资金使</w:t>
      </w:r>
      <w:r>
        <w:rPr>
          <w:spacing w:val="-14"/>
          <w:sz w:val="32"/>
        </w:rPr>
        <w:t>用进度通报，并对预算执行进度缓慢的项目或者不符合执行条件</w:t>
      </w:r>
      <w:r>
        <w:rPr>
          <w:spacing w:val="-10"/>
          <w:sz w:val="32"/>
        </w:rPr>
        <w:t>的项目进行追减资金处理。充分提高资金使用效率，同时也证实</w:t>
      </w:r>
      <w:r>
        <w:rPr>
          <w:spacing w:val="-2"/>
          <w:sz w:val="32"/>
        </w:rPr>
        <w:t>了绩效监控科学有效，值得提倡。</w:t>
      </w:r>
    </w:p>
    <w:p>
      <w:pPr>
        <w:pStyle w:val="9"/>
        <w:numPr>
          <w:ilvl w:val="0"/>
          <w:numId w:val="11"/>
        </w:numPr>
        <w:tabs>
          <w:tab w:val="left" w:pos="1095"/>
        </w:tabs>
        <w:spacing w:before="171" w:after="0" w:line="240" w:lineRule="auto"/>
        <w:ind w:left="1095" w:right="0" w:hanging="340"/>
        <w:jc w:val="both"/>
        <w:rPr>
          <w:sz w:val="32"/>
        </w:rPr>
      </w:pPr>
      <w:r>
        <w:rPr>
          <w:spacing w:val="8"/>
          <w:sz w:val="32"/>
        </w:rPr>
        <w:t xml:space="preserve">执行进度，我系统在 </w:t>
      </w:r>
      <w:r>
        <w:rPr>
          <w:sz w:val="32"/>
        </w:rPr>
        <w:t>2023</w:t>
      </w:r>
      <w:r>
        <w:rPr>
          <w:spacing w:val="-23"/>
          <w:sz w:val="32"/>
        </w:rPr>
        <w:t xml:space="preserve"> 年度 </w:t>
      </w:r>
      <w:r>
        <w:rPr>
          <w:sz w:val="32"/>
        </w:rPr>
        <w:t>6</w:t>
      </w:r>
      <w:r>
        <w:rPr>
          <w:spacing w:val="6"/>
          <w:sz w:val="32"/>
        </w:rPr>
        <w:t xml:space="preserve"> 月的预算执行进度为</w:t>
      </w:r>
    </w:p>
    <w:p>
      <w:pPr>
        <w:pStyle w:val="4"/>
        <w:spacing w:before="213" w:line="364" w:lineRule="auto"/>
        <w:ind w:right="135"/>
        <w:jc w:val="both"/>
      </w:pPr>
      <w:r>
        <w:rPr>
          <w:spacing w:val="-12"/>
        </w:rPr>
        <w:t>43.99%，9</w:t>
      </w:r>
      <w:r>
        <w:rPr>
          <w:spacing w:val="-16"/>
        </w:rPr>
        <w:t xml:space="preserve"> 月的预算执行进度为 </w:t>
      </w:r>
      <w:r>
        <w:rPr>
          <w:spacing w:val="-12"/>
        </w:rPr>
        <w:t>70.74</w:t>
      </w:r>
      <w:r>
        <w:rPr>
          <w:spacing w:val="-15"/>
        </w:rPr>
        <w:t xml:space="preserve">%，在 </w:t>
      </w:r>
      <w:r>
        <w:rPr>
          <w:spacing w:val="-12"/>
        </w:rPr>
        <w:t>12</w:t>
      </w:r>
      <w:r>
        <w:rPr>
          <w:spacing w:val="-15"/>
        </w:rPr>
        <w:t xml:space="preserve"> 月的预算执行进度</w:t>
      </w:r>
      <w:r>
        <w:rPr>
          <w:spacing w:val="-20"/>
        </w:rPr>
        <w:t xml:space="preserve">为 </w:t>
      </w:r>
      <w:r>
        <w:t>90.6%。</w:t>
      </w:r>
    </w:p>
    <w:p>
      <w:pPr>
        <w:pStyle w:val="9"/>
        <w:numPr>
          <w:ilvl w:val="0"/>
          <w:numId w:val="11"/>
        </w:numPr>
        <w:tabs>
          <w:tab w:val="left" w:pos="1109"/>
        </w:tabs>
        <w:spacing w:before="135" w:after="0" w:line="240" w:lineRule="auto"/>
        <w:ind w:left="1109" w:right="0" w:hanging="354"/>
        <w:jc w:val="both"/>
        <w:rPr>
          <w:sz w:val="32"/>
        </w:rPr>
      </w:pPr>
      <w:r>
        <w:rPr>
          <w:spacing w:val="8"/>
          <w:sz w:val="32"/>
        </w:rPr>
        <w:t xml:space="preserve">预算完成情况， </w:t>
      </w:r>
      <w:r>
        <w:rPr>
          <w:sz w:val="32"/>
        </w:rPr>
        <w:t>2023</w:t>
      </w:r>
      <w:r>
        <w:rPr>
          <w:spacing w:val="21"/>
          <w:sz w:val="32"/>
        </w:rPr>
        <w:t xml:space="preserve"> 年我系统上平台全年预算金额</w:t>
      </w:r>
    </w:p>
    <w:p>
      <w:pPr>
        <w:pStyle w:val="4"/>
        <w:spacing w:before="104" w:line="300" w:lineRule="auto"/>
        <w:ind w:right="94"/>
      </w:pPr>
      <w:r>
        <w:rPr>
          <w:spacing w:val="-2"/>
        </w:rPr>
        <w:t>337572.81</w:t>
      </w:r>
      <w:r>
        <w:rPr>
          <w:spacing w:val="-35"/>
        </w:rPr>
        <w:t xml:space="preserve"> 万元，实际支出 </w:t>
      </w:r>
      <w:r>
        <w:rPr>
          <w:spacing w:val="-2"/>
        </w:rPr>
        <w:t>337422.89</w:t>
      </w:r>
      <w:r>
        <w:rPr>
          <w:spacing w:val="-31"/>
        </w:rPr>
        <w:t xml:space="preserve"> 万元，预算完成率 </w:t>
      </w:r>
      <w:r>
        <w:rPr>
          <w:spacing w:val="-2"/>
        </w:rPr>
        <w:t>99.96%，</w:t>
      </w:r>
      <w:r>
        <w:rPr>
          <w:spacing w:val="21"/>
        </w:rPr>
        <w:t>各单位分别完成情况如下： 遂宁市卫生健康委员会完成率</w:t>
      </w:r>
      <w:r>
        <w:t xml:space="preserve"> 97.68</w:t>
      </w:r>
      <w:r>
        <w:rPr>
          <w:spacing w:val="-2"/>
        </w:rPr>
        <w:t xml:space="preserve">%，遂宁市紧急医疗救援中心完成率 </w:t>
      </w:r>
      <w:r>
        <w:t>98.38%，遂宁市卫生</w:t>
      </w:r>
      <w:r>
        <w:rPr>
          <w:spacing w:val="-3"/>
        </w:rPr>
        <w:t xml:space="preserve">健康综合行政执法支队完成 </w:t>
      </w:r>
      <w:r>
        <w:t>98.72%，遂宁市疾病预防控制中心</w:t>
      </w:r>
      <w:r>
        <w:rPr>
          <w:spacing w:val="-7"/>
        </w:rPr>
        <w:t xml:space="preserve">完成 </w:t>
      </w:r>
      <w:r>
        <w:t>97.07</w:t>
      </w:r>
      <w:r>
        <w:rPr>
          <w:spacing w:val="-2"/>
        </w:rPr>
        <w:t xml:space="preserve">%，遂宁市中心血站完成 </w:t>
      </w:r>
      <w:r>
        <w:t>97.34%，遂宁市传染病医院</w:t>
      </w:r>
      <w:r>
        <w:rPr>
          <w:spacing w:val="-31"/>
        </w:rPr>
        <w:t xml:space="preserve">完成 </w:t>
      </w:r>
      <w:r>
        <w:rPr>
          <w:spacing w:val="14"/>
        </w:rPr>
        <w:t>10</w:t>
      </w:r>
      <w:r>
        <w:rPr>
          <w:spacing w:val="11"/>
        </w:rPr>
        <w:t>0</w:t>
      </w:r>
      <w:r>
        <w:rPr>
          <w:spacing w:val="-20"/>
        </w:rPr>
        <w:t xml:space="preserve">%，遂宁市中心医院完成 </w:t>
      </w:r>
      <w:r>
        <w:rPr>
          <w:spacing w:val="14"/>
        </w:rPr>
        <w:t>10</w:t>
      </w:r>
      <w:r>
        <w:rPr>
          <w:spacing w:val="11"/>
        </w:rPr>
        <w:t>0</w:t>
      </w:r>
      <w:r>
        <w:rPr>
          <w:spacing w:val="-20"/>
        </w:rPr>
        <w:t xml:space="preserve">%，遂宁市中医院完成 </w:t>
      </w:r>
      <w:r>
        <w:rPr>
          <w:spacing w:val="-6"/>
        </w:rPr>
        <w:t>100%，</w:t>
      </w:r>
      <w:r>
        <w:rPr>
          <w:spacing w:val="-2"/>
        </w:rPr>
        <w:t xml:space="preserve">遂宁市妇幼保健计划和生育中心完成 </w:t>
      </w:r>
      <w:r>
        <w:t>100%，遂宁市第一人民医</w:t>
      </w:r>
      <w:r>
        <w:rPr>
          <w:spacing w:val="-6"/>
        </w:rPr>
        <w:t xml:space="preserve">院完成 </w:t>
      </w:r>
      <w:r>
        <w:t>100</w:t>
      </w:r>
      <w:r>
        <w:rPr>
          <w:spacing w:val="-2"/>
        </w:rPr>
        <w:t xml:space="preserve">%，遂宁市计划生育协会完成 </w:t>
      </w:r>
      <w:r>
        <w:t>95.7%。</w:t>
      </w:r>
    </w:p>
    <w:p>
      <w:pPr>
        <w:pStyle w:val="4"/>
        <w:spacing w:before="64"/>
        <w:ind w:left="755"/>
      </w:pPr>
      <w:r>
        <w:rPr>
          <w:spacing w:val="-4"/>
        </w:rPr>
        <w:t>（二）</w:t>
      </w:r>
      <w:r>
        <w:rPr>
          <w:spacing w:val="-5"/>
        </w:rPr>
        <w:t>结果应用情况</w:t>
      </w:r>
    </w:p>
    <w:p>
      <w:pPr>
        <w:pStyle w:val="9"/>
        <w:numPr>
          <w:ilvl w:val="0"/>
          <w:numId w:val="12"/>
        </w:numPr>
        <w:tabs>
          <w:tab w:val="left" w:pos="1077"/>
        </w:tabs>
        <w:spacing w:before="105" w:after="0" w:line="288" w:lineRule="auto"/>
        <w:ind w:left="114" w:right="255" w:firstLine="640"/>
        <w:jc w:val="both"/>
        <w:rPr>
          <w:sz w:val="32"/>
        </w:rPr>
      </w:pPr>
      <w:r>
        <w:rPr>
          <w:sz w:val="32"/>
        </w:rPr>
        <w:t>内部应用, 2023</w:t>
      </w:r>
      <w:r>
        <w:rPr>
          <w:spacing w:val="-7"/>
          <w:sz w:val="32"/>
        </w:rPr>
        <w:t xml:space="preserve"> 年采用预算绩效监督手段，有效加快了</w:t>
      </w:r>
      <w:r>
        <w:rPr>
          <w:spacing w:val="-11"/>
          <w:sz w:val="32"/>
        </w:rPr>
        <w:t>我系统的资金执行进度，在疫情反复侵扰下，我委带领下属单位</w:t>
      </w:r>
      <w:r>
        <w:rPr>
          <w:spacing w:val="-6"/>
          <w:sz w:val="32"/>
        </w:rPr>
        <w:t>稳步、有序，在每个时间节点预算执行情况基本达到了进度，在</w:t>
      </w:r>
      <w:r>
        <w:rPr>
          <w:spacing w:val="-3"/>
          <w:sz w:val="32"/>
        </w:rPr>
        <w:t xml:space="preserve">年底我系统整体决算数执行率达到 </w:t>
      </w:r>
      <w:r>
        <w:rPr>
          <w:sz w:val="32"/>
        </w:rPr>
        <w:t>99.9%的好成绩。</w:t>
      </w:r>
    </w:p>
    <w:p>
      <w:pPr>
        <w:pStyle w:val="9"/>
        <w:spacing w:after="0" w:line="288" w:lineRule="auto"/>
        <w:jc w:val="both"/>
        <w:rPr>
          <w:sz w:val="32"/>
        </w:rPr>
        <w:sectPr>
          <w:footerReference r:id="rId10" w:type="even"/>
          <w:pgSz w:w="11910" w:h="16840"/>
          <w:pgMar w:top="1560" w:right="1275" w:bottom="280" w:left="1417" w:header="0" w:footer="0" w:gutter="0"/>
          <w:cols w:space="720" w:num="1"/>
        </w:sectPr>
      </w:pPr>
    </w:p>
    <w:p>
      <w:pPr>
        <w:pStyle w:val="9"/>
        <w:numPr>
          <w:ilvl w:val="0"/>
          <w:numId w:val="12"/>
        </w:numPr>
        <w:tabs>
          <w:tab w:val="left" w:pos="1072"/>
        </w:tabs>
        <w:spacing w:before="29" w:after="0" w:line="288" w:lineRule="auto"/>
        <w:ind w:left="114" w:right="94" w:firstLine="640"/>
        <w:jc w:val="left"/>
        <w:rPr>
          <w:sz w:val="32"/>
        </w:rPr>
      </w:pPr>
      <w:r>
        <w:rPr>
          <w:sz w:val="32"/>
        </w:rPr>
        <w:t>自评公开, 2023</w:t>
      </w:r>
      <w:r>
        <w:rPr>
          <w:spacing w:val="-13"/>
          <w:sz w:val="32"/>
        </w:rPr>
        <w:t xml:space="preserve"> 年我委带领下属 </w:t>
      </w:r>
      <w:r>
        <w:rPr>
          <w:sz w:val="32"/>
        </w:rPr>
        <w:t>11</w:t>
      </w:r>
      <w:r>
        <w:rPr>
          <w:spacing w:val="-8"/>
          <w:sz w:val="32"/>
        </w:rPr>
        <w:t xml:space="preserve"> 个单位在遂宁市人民</w:t>
      </w:r>
      <w:r>
        <w:rPr>
          <w:spacing w:val="-7"/>
          <w:sz w:val="32"/>
        </w:rPr>
        <w:t>政府官方网站和时卫生健康委官方网站进行了预算公开，在公开</w:t>
      </w:r>
      <w:r>
        <w:rPr>
          <w:spacing w:val="-18"/>
          <w:sz w:val="32"/>
        </w:rPr>
        <w:t xml:space="preserve">人员经费、公用经费的同时对 </w:t>
      </w:r>
      <w:r>
        <w:rPr>
          <w:spacing w:val="-2"/>
          <w:sz w:val="32"/>
        </w:rPr>
        <w:t>29</w:t>
      </w:r>
      <w:r>
        <w:rPr>
          <w:spacing w:val="-11"/>
          <w:sz w:val="32"/>
        </w:rPr>
        <w:t xml:space="preserve"> 的特定目标类项目也做了公开，</w:t>
      </w:r>
      <w:r>
        <w:rPr>
          <w:spacing w:val="-2"/>
          <w:sz w:val="32"/>
        </w:rPr>
        <w:t>达到了预期的效果。</w:t>
      </w:r>
    </w:p>
    <w:p>
      <w:pPr>
        <w:pStyle w:val="4"/>
        <w:spacing w:before="2" w:line="288" w:lineRule="auto"/>
        <w:ind w:right="255" w:firstLine="640"/>
        <w:jc w:val="both"/>
      </w:pPr>
      <w:r>
        <w:rPr>
          <w:spacing w:val="-13"/>
        </w:rPr>
        <w:t>信息公开及时。我系统严格按照要求在市财政部门批复二十</w:t>
      </w:r>
      <w:r>
        <w:rPr>
          <w:spacing w:val="-14"/>
        </w:rPr>
        <w:t>日后，根据市财政要求按时在遂宁市人民政府信息公开网上公示</w:t>
      </w:r>
      <w:r>
        <w:rPr>
          <w:spacing w:val="-13"/>
        </w:rPr>
        <w:t>本绩效目标情况。同时部门整体支出绩效自评报告及其他按要求</w:t>
      </w:r>
      <w:r>
        <w:rPr>
          <w:spacing w:val="-2"/>
        </w:rPr>
        <w:t>应公开的绩效信息均已信息公开。</w:t>
      </w:r>
    </w:p>
    <w:p>
      <w:pPr>
        <w:pStyle w:val="4"/>
        <w:spacing w:before="2"/>
        <w:ind w:left="755"/>
        <w:rPr>
          <w:rFonts w:ascii="黑体" w:eastAsia="黑体"/>
        </w:rPr>
      </w:pPr>
      <w:r>
        <w:rPr>
          <w:rFonts w:ascii="黑体" w:eastAsia="黑体"/>
          <w:spacing w:val="-5"/>
        </w:rPr>
        <w:t>四、评价结论及建议</w:t>
      </w:r>
    </w:p>
    <w:p>
      <w:pPr>
        <w:pStyle w:val="4"/>
        <w:spacing w:before="86"/>
        <w:ind w:left="755"/>
      </w:pPr>
      <w:r>
        <w:rPr>
          <w:spacing w:val="-4"/>
        </w:rPr>
        <w:t>（一）</w:t>
      </w:r>
      <w:r>
        <w:rPr>
          <w:spacing w:val="-6"/>
        </w:rPr>
        <w:t>评价结论</w:t>
      </w:r>
    </w:p>
    <w:p>
      <w:pPr>
        <w:pStyle w:val="9"/>
        <w:numPr>
          <w:ilvl w:val="0"/>
          <w:numId w:val="13"/>
        </w:numPr>
        <w:tabs>
          <w:tab w:val="left" w:pos="1072"/>
        </w:tabs>
        <w:spacing w:before="304" w:after="0" w:line="362" w:lineRule="auto"/>
        <w:ind w:left="114" w:right="255" w:firstLine="640"/>
        <w:jc w:val="both"/>
        <w:rPr>
          <w:sz w:val="32"/>
        </w:rPr>
      </w:pPr>
      <w:r>
        <w:rPr>
          <w:spacing w:val="-6"/>
          <w:sz w:val="32"/>
        </w:rPr>
        <w:t>加快区域中心建设。编制《遂宁市“十四五”医疗卫生服</w:t>
      </w:r>
      <w:r>
        <w:rPr>
          <w:spacing w:val="-10"/>
          <w:sz w:val="32"/>
        </w:rPr>
        <w:t xml:space="preserve">务体系规划》。做好机构建设，新增 </w:t>
      </w:r>
      <w:r>
        <w:rPr>
          <w:spacing w:val="-8"/>
          <w:sz w:val="32"/>
        </w:rPr>
        <w:t>4</w:t>
      </w:r>
      <w:r>
        <w:rPr>
          <w:spacing w:val="-13"/>
          <w:sz w:val="32"/>
        </w:rPr>
        <w:t xml:space="preserve"> 个专科成功获批四川省临</w:t>
      </w:r>
      <w:r>
        <w:rPr>
          <w:spacing w:val="-14"/>
          <w:sz w:val="32"/>
        </w:rPr>
        <w:t>床重点专科，其中市中心医院骨科成功获批川渝共建临床重点专</w:t>
      </w:r>
      <w:r>
        <w:rPr>
          <w:spacing w:val="-6"/>
          <w:sz w:val="32"/>
        </w:rPr>
        <w:t>科；市肿瘤医院、市口腔医院正式揭牌；加强机构合作，国家消</w:t>
      </w:r>
      <w:r>
        <w:rPr>
          <w:spacing w:val="-2"/>
          <w:sz w:val="32"/>
        </w:rPr>
        <w:t>化系统疾病临床医学研究中心成渝中部地区分中心在市中心医</w:t>
      </w:r>
      <w:r>
        <w:rPr>
          <w:spacing w:val="-13"/>
          <w:sz w:val="32"/>
        </w:rPr>
        <w:t>院成立；市第一人民医院授牌成为川中地区首个“国家标准化心</w:t>
      </w:r>
      <w:r>
        <w:rPr>
          <w:spacing w:val="-2"/>
          <w:sz w:val="32"/>
        </w:rPr>
        <w:t>血管病诊疗中心”,与西南医科大学附属医院正式签订医疗集团</w:t>
      </w:r>
      <w:r>
        <w:rPr>
          <w:spacing w:val="-14"/>
          <w:sz w:val="32"/>
        </w:rPr>
        <w:t>合作协议。拓展医学教育，四川文轩职业学院遂宁校区新开设口</w:t>
      </w:r>
      <w:r>
        <w:rPr>
          <w:spacing w:val="-2"/>
          <w:sz w:val="32"/>
        </w:rPr>
        <w:t>腔医学技术专业，遂宁职业学院开设医药卫生学院护理专业。</w:t>
      </w:r>
    </w:p>
    <w:p>
      <w:pPr>
        <w:pStyle w:val="9"/>
        <w:numPr>
          <w:ilvl w:val="0"/>
          <w:numId w:val="13"/>
        </w:numPr>
        <w:tabs>
          <w:tab w:val="left" w:pos="1072"/>
        </w:tabs>
        <w:spacing w:before="71" w:after="0" w:line="364" w:lineRule="auto"/>
        <w:ind w:left="114" w:right="274" w:firstLine="640"/>
        <w:jc w:val="both"/>
        <w:rPr>
          <w:sz w:val="32"/>
        </w:rPr>
      </w:pPr>
      <w:r>
        <w:rPr>
          <w:spacing w:val="-13"/>
          <w:sz w:val="32"/>
        </w:rPr>
        <w:t>促进中医稳步发展。加强中医人才队伍建设，引进高层次</w:t>
      </w:r>
      <w:r>
        <w:rPr>
          <w:spacing w:val="-15"/>
          <w:sz w:val="32"/>
        </w:rPr>
        <w:t xml:space="preserve">中医药人员 </w:t>
      </w:r>
      <w:r>
        <w:rPr>
          <w:spacing w:val="-2"/>
          <w:sz w:val="32"/>
        </w:rPr>
        <w:t>24</w:t>
      </w:r>
      <w:r>
        <w:rPr>
          <w:spacing w:val="-39"/>
          <w:sz w:val="32"/>
        </w:rPr>
        <w:t xml:space="preserve"> 名；组织开展 </w:t>
      </w:r>
      <w:r>
        <w:rPr>
          <w:spacing w:val="-2"/>
          <w:sz w:val="32"/>
        </w:rPr>
        <w:t>2023</w:t>
      </w:r>
      <w:r>
        <w:rPr>
          <w:spacing w:val="-11"/>
          <w:sz w:val="32"/>
        </w:rPr>
        <w:t xml:space="preserve"> 年度中医类别全科医生转岗培</w:t>
      </w:r>
    </w:p>
    <w:p>
      <w:pPr>
        <w:pStyle w:val="4"/>
        <w:spacing w:line="411" w:lineRule="exact"/>
        <w:jc w:val="both"/>
      </w:pPr>
      <w:r>
        <w:rPr>
          <w:spacing w:val="-36"/>
        </w:rPr>
        <w:t xml:space="preserve">训，招收学员 </w:t>
      </w:r>
      <w:r>
        <w:rPr>
          <w:spacing w:val="-4"/>
        </w:rPr>
        <w:t>45</w:t>
      </w:r>
      <w:r>
        <w:rPr>
          <w:spacing w:val="-23"/>
        </w:rPr>
        <w:t xml:space="preserve"> 名；开展省级中医药适宜技术推广培训 </w:t>
      </w:r>
      <w:r>
        <w:rPr>
          <w:spacing w:val="-4"/>
        </w:rPr>
        <w:t>2</w:t>
      </w:r>
      <w:r>
        <w:rPr>
          <w:spacing w:val="-22"/>
        </w:rPr>
        <w:t xml:space="preserve"> 期、市</w:t>
      </w:r>
    </w:p>
    <w:p>
      <w:pPr>
        <w:pStyle w:val="4"/>
        <w:spacing w:before="215"/>
        <w:jc w:val="both"/>
      </w:pPr>
      <w:r>
        <w:rPr>
          <w:spacing w:val="-9"/>
        </w:rPr>
        <w:t xml:space="preserve">级中医药适宜技术推广培训 </w:t>
      </w:r>
      <w:r>
        <w:rPr>
          <w:spacing w:val="-2"/>
        </w:rPr>
        <w:t>8</w:t>
      </w:r>
      <w:r>
        <w:rPr>
          <w:spacing w:val="-21"/>
        </w:rPr>
        <w:t xml:space="preserve"> 期，培训基层中医药人员 </w:t>
      </w:r>
      <w:r>
        <w:rPr>
          <w:spacing w:val="-2"/>
        </w:rPr>
        <w:t>1300</w:t>
      </w:r>
      <w:r>
        <w:rPr>
          <w:spacing w:val="-10"/>
        </w:rPr>
        <w:t xml:space="preserve"> 余</w:t>
      </w:r>
    </w:p>
    <w:p>
      <w:pPr>
        <w:pStyle w:val="4"/>
        <w:spacing w:after="0"/>
        <w:jc w:val="both"/>
        <w:sectPr>
          <w:footerReference r:id="rId11" w:type="default"/>
          <w:footerReference r:id="rId12" w:type="even"/>
          <w:pgSz w:w="11910" w:h="16840"/>
          <w:pgMar w:top="1560" w:right="1275" w:bottom="1060" w:left="1417" w:header="0" w:footer="865" w:gutter="0"/>
          <w:cols w:space="720" w:num="1"/>
        </w:sectPr>
      </w:pPr>
    </w:p>
    <w:p>
      <w:pPr>
        <w:pStyle w:val="4"/>
        <w:spacing w:before="38" w:line="364" w:lineRule="auto"/>
        <w:ind w:right="274"/>
        <w:jc w:val="both"/>
      </w:pPr>
      <w:r>
        <w:rPr>
          <w:spacing w:val="-6"/>
        </w:rPr>
        <w:t>名；1</w:t>
      </w:r>
      <w:r>
        <w:rPr>
          <w:spacing w:val="-12"/>
        </w:rPr>
        <w:t xml:space="preserve"> 人入选四川省岐黄学者、</w:t>
      </w:r>
      <w:r>
        <w:rPr>
          <w:spacing w:val="-6"/>
        </w:rPr>
        <w:t>1</w:t>
      </w:r>
      <w:r>
        <w:rPr>
          <w:spacing w:val="-12"/>
        </w:rPr>
        <w:t xml:space="preserve"> 人入选四川省名中医、</w:t>
      </w:r>
      <w:r>
        <w:rPr>
          <w:spacing w:val="-6"/>
        </w:rPr>
        <w:t>5</w:t>
      </w:r>
      <w:r>
        <w:rPr>
          <w:spacing w:val="-21"/>
        </w:rPr>
        <w:t xml:space="preserve"> 人 入</w:t>
      </w:r>
      <w:r>
        <w:rPr>
          <w:spacing w:val="-20"/>
        </w:rPr>
        <w:t>选四川省岐黄菁英人才。提升中医药服务能力，中医及中西医 结</w:t>
      </w:r>
      <w:r>
        <w:rPr>
          <w:spacing w:val="-4"/>
        </w:rPr>
        <w:t xml:space="preserve">合床位占全市总床位数的 </w:t>
      </w:r>
      <w:r>
        <w:t>20.98</w:t>
      </w:r>
      <w:r>
        <w:rPr>
          <w:spacing w:val="1"/>
        </w:rPr>
        <w:t>%,中医类别医师在全市医师 总</w:t>
      </w:r>
      <w:r>
        <w:rPr>
          <w:spacing w:val="-7"/>
        </w:rPr>
        <w:t xml:space="preserve">数占比达到 </w:t>
      </w:r>
      <w:r>
        <w:t>28.34%。</w:t>
      </w:r>
    </w:p>
    <w:p>
      <w:pPr>
        <w:pStyle w:val="9"/>
        <w:numPr>
          <w:ilvl w:val="0"/>
          <w:numId w:val="13"/>
        </w:numPr>
        <w:tabs>
          <w:tab w:val="left" w:pos="1072"/>
        </w:tabs>
        <w:spacing w:before="33" w:after="0" w:line="362" w:lineRule="auto"/>
        <w:ind w:left="114" w:right="272" w:firstLine="640"/>
        <w:jc w:val="right"/>
        <w:rPr>
          <w:sz w:val="32"/>
        </w:rPr>
      </w:pPr>
      <w:r>
        <w:rPr>
          <w:spacing w:val="-24"/>
          <w:sz w:val="32"/>
        </w:rPr>
        <w:t>规范机构执业行为。做好“双随机一公开”,下达随机抽 查</w:t>
      </w:r>
      <w:r>
        <w:rPr>
          <w:spacing w:val="-28"/>
          <w:sz w:val="32"/>
        </w:rPr>
        <w:t xml:space="preserve">任务 </w:t>
      </w:r>
      <w:r>
        <w:rPr>
          <w:spacing w:val="-2"/>
          <w:sz w:val="32"/>
        </w:rPr>
        <w:t>474</w:t>
      </w:r>
      <w:r>
        <w:rPr>
          <w:spacing w:val="-35"/>
          <w:sz w:val="32"/>
        </w:rPr>
        <w:t xml:space="preserve"> 单、抽检任务 </w:t>
      </w:r>
      <w:r>
        <w:rPr>
          <w:spacing w:val="-2"/>
          <w:sz w:val="32"/>
        </w:rPr>
        <w:t>117</w:t>
      </w:r>
      <w:r>
        <w:rPr>
          <w:spacing w:val="-22"/>
          <w:sz w:val="32"/>
        </w:rPr>
        <w:t xml:space="preserve"> 单，抽查覆盖公共场所卫生、学校 卫</w:t>
      </w:r>
    </w:p>
    <w:p>
      <w:pPr>
        <w:pStyle w:val="4"/>
        <w:spacing w:before="4"/>
        <w:ind w:left="0" w:right="270"/>
        <w:jc w:val="right"/>
      </w:pPr>
      <w:r>
        <w:rPr>
          <w:spacing w:val="-11"/>
        </w:rPr>
        <w:t xml:space="preserve">生、饮用水卫生等多个领域。做好卫生监督执法，截至 </w:t>
      </w:r>
      <w:r>
        <w:rPr>
          <w:spacing w:val="-8"/>
        </w:rPr>
        <w:t>11</w:t>
      </w:r>
      <w:r>
        <w:rPr>
          <w:spacing w:val="-27"/>
        </w:rPr>
        <w:t xml:space="preserve"> 月 </w:t>
      </w:r>
      <w:r>
        <w:rPr>
          <w:spacing w:val="-8"/>
        </w:rPr>
        <w:t>28</w:t>
      </w:r>
    </w:p>
    <w:p>
      <w:pPr>
        <w:pStyle w:val="4"/>
        <w:spacing w:before="213"/>
        <w:jc w:val="both"/>
      </w:pPr>
      <w:r>
        <w:rPr>
          <w:spacing w:val="-8"/>
        </w:rPr>
        <w:t xml:space="preserve">日，全市共督导各类医疗机构 </w:t>
      </w:r>
      <w:r>
        <w:rPr>
          <w:spacing w:val="-4"/>
        </w:rPr>
        <w:t>1479</w:t>
      </w:r>
      <w:r>
        <w:rPr>
          <w:spacing w:val="-12"/>
        </w:rPr>
        <w:t xml:space="preserve"> 户次，发现处理医疗机构</w:t>
      </w:r>
    </w:p>
    <w:p>
      <w:pPr>
        <w:pStyle w:val="4"/>
        <w:spacing w:after="0"/>
        <w:jc w:val="both"/>
        <w:sectPr>
          <w:pgSz w:w="11910" w:h="16840"/>
          <w:pgMar w:top="1580" w:right="1275" w:bottom="1060" w:left="1417" w:header="0" w:footer="865" w:gutter="0"/>
          <w:cols w:space="720" w:num="1"/>
        </w:sectPr>
      </w:pPr>
    </w:p>
    <w:p>
      <w:pPr>
        <w:pStyle w:val="4"/>
        <w:spacing w:before="52"/>
        <w:ind w:left="0"/>
      </w:pPr>
    </w:p>
    <w:p>
      <w:pPr>
        <w:pStyle w:val="4"/>
        <w:jc w:val="both"/>
      </w:pPr>
      <w:r>
        <w:rPr>
          <w:spacing w:val="3"/>
        </w:rPr>
        <w:t>违法违规行为</w:t>
      </w:r>
      <w:r>
        <w:t>543</w:t>
      </w:r>
      <w:r>
        <w:rPr>
          <w:spacing w:val="-40"/>
        </w:rPr>
        <w:t xml:space="preserve"> 起，其中责令改正 </w:t>
      </w:r>
      <w:r>
        <w:t>140</w:t>
      </w:r>
      <w:r>
        <w:rPr>
          <w:spacing w:val="-43"/>
        </w:rPr>
        <w:t xml:space="preserve"> 户次，查处案件 </w:t>
      </w:r>
      <w:r>
        <w:t>217</w:t>
      </w:r>
      <w:r>
        <w:rPr>
          <w:spacing w:val="-17"/>
        </w:rPr>
        <w:t xml:space="preserve"> 件，</w:t>
      </w:r>
    </w:p>
    <w:p>
      <w:pPr>
        <w:pStyle w:val="4"/>
        <w:spacing w:before="213"/>
        <w:jc w:val="both"/>
      </w:pPr>
      <w:r>
        <w:rPr>
          <w:spacing w:val="-25"/>
        </w:rPr>
        <w:t xml:space="preserve">警告 </w:t>
      </w:r>
      <w:r>
        <w:t>128</w:t>
      </w:r>
      <w:r>
        <w:rPr>
          <w:spacing w:val="-26"/>
        </w:rPr>
        <w:t xml:space="preserve"> 件，罚款 </w:t>
      </w:r>
      <w:r>
        <w:t>58</w:t>
      </w:r>
      <w:r>
        <w:rPr>
          <w:spacing w:val="-17"/>
        </w:rPr>
        <w:t xml:space="preserve"> 件，没收药品器械 </w:t>
      </w:r>
      <w:r>
        <w:t>4</w:t>
      </w:r>
      <w:r>
        <w:rPr>
          <w:spacing w:val="-10"/>
        </w:rPr>
        <w:t xml:space="preserve"> 件，取缔游医摊 点</w:t>
      </w:r>
    </w:p>
    <w:p>
      <w:pPr>
        <w:pStyle w:val="4"/>
        <w:spacing w:before="215"/>
        <w:jc w:val="both"/>
      </w:pPr>
      <w:r>
        <w:rPr>
          <w:spacing w:val="-4"/>
        </w:rPr>
        <w:t>11</w:t>
      </w:r>
      <w:r>
        <w:rPr>
          <w:spacing w:val="-21"/>
        </w:rPr>
        <w:t xml:space="preserve"> 个，共计罚没款 </w:t>
      </w:r>
      <w:r>
        <w:rPr>
          <w:spacing w:val="-4"/>
        </w:rPr>
        <w:t>69.4529</w:t>
      </w:r>
      <w:r>
        <w:rPr>
          <w:spacing w:val="-22"/>
        </w:rPr>
        <w:t xml:space="preserve"> 万元。</w:t>
      </w:r>
    </w:p>
    <w:p>
      <w:pPr>
        <w:pStyle w:val="9"/>
        <w:numPr>
          <w:ilvl w:val="0"/>
          <w:numId w:val="13"/>
        </w:numPr>
        <w:tabs>
          <w:tab w:val="left" w:pos="1068"/>
        </w:tabs>
        <w:spacing w:before="333" w:after="0" w:line="362" w:lineRule="auto"/>
        <w:ind w:left="114" w:right="317" w:firstLine="628"/>
        <w:jc w:val="both"/>
        <w:rPr>
          <w:sz w:val="32"/>
        </w:rPr>
      </w:pPr>
      <w:r>
        <w:rPr>
          <w:spacing w:val="-2"/>
          <w:sz w:val="32"/>
        </w:rPr>
        <w:t>提高医疗服务质量。市、县级质控中心常态化开展合理</w:t>
      </w:r>
      <w:r>
        <w:rPr>
          <w:spacing w:val="-11"/>
          <w:sz w:val="32"/>
        </w:rPr>
        <w:t xml:space="preserve">检 查、合理用药等质量控制 </w:t>
      </w:r>
      <w:r>
        <w:rPr>
          <w:spacing w:val="-4"/>
          <w:sz w:val="32"/>
        </w:rPr>
        <w:t>405</w:t>
      </w:r>
      <w:r>
        <w:rPr>
          <w:spacing w:val="-10"/>
          <w:sz w:val="32"/>
        </w:rPr>
        <w:t xml:space="preserve"> 场次。开展改善群众就医感受</w:t>
      </w:r>
      <w:r>
        <w:rPr>
          <w:spacing w:val="-7"/>
          <w:sz w:val="32"/>
        </w:rPr>
        <w:t>等专 项行动，与残联联合出台残疾人便利就医十条措施，市中</w:t>
      </w:r>
      <w:r>
        <w:rPr>
          <w:spacing w:val="-6"/>
          <w:sz w:val="32"/>
        </w:rPr>
        <w:t>心医院 河东院区高质量建设医疗环境，打造星级就医体验，市中医院在 省内率先实现了人工智能语音随访，市第一人民医院</w:t>
      </w:r>
      <w:r>
        <w:rPr>
          <w:sz w:val="32"/>
        </w:rPr>
        <w:t>成为全省首 批医保移动支付试点医院。</w:t>
      </w:r>
    </w:p>
    <w:p>
      <w:pPr>
        <w:pStyle w:val="4"/>
        <w:spacing w:before="119"/>
        <w:jc w:val="both"/>
      </w:pPr>
      <w:r>
        <w:rPr>
          <w:spacing w:val="3"/>
        </w:rPr>
        <w:t>违法违规行为</w:t>
      </w:r>
      <w:r>
        <w:t>543</w:t>
      </w:r>
      <w:r>
        <w:rPr>
          <w:spacing w:val="-40"/>
        </w:rPr>
        <w:t xml:space="preserve"> 起，其中责令改正 </w:t>
      </w:r>
      <w:r>
        <w:t>140</w:t>
      </w:r>
      <w:r>
        <w:rPr>
          <w:spacing w:val="-43"/>
        </w:rPr>
        <w:t xml:space="preserve"> 户次，查处案件 </w:t>
      </w:r>
      <w:r>
        <w:t>217</w:t>
      </w:r>
      <w:r>
        <w:rPr>
          <w:spacing w:val="-17"/>
        </w:rPr>
        <w:t xml:space="preserve"> 件，</w:t>
      </w:r>
    </w:p>
    <w:p>
      <w:pPr>
        <w:pStyle w:val="4"/>
        <w:spacing w:before="213"/>
        <w:jc w:val="both"/>
      </w:pPr>
      <w:r>
        <w:rPr>
          <w:spacing w:val="-25"/>
        </w:rPr>
        <w:t xml:space="preserve">警告 </w:t>
      </w:r>
      <w:r>
        <w:t>128</w:t>
      </w:r>
      <w:r>
        <w:rPr>
          <w:spacing w:val="-26"/>
        </w:rPr>
        <w:t xml:space="preserve"> 件，罚款 </w:t>
      </w:r>
      <w:r>
        <w:t>58</w:t>
      </w:r>
      <w:r>
        <w:rPr>
          <w:spacing w:val="-17"/>
        </w:rPr>
        <w:t xml:space="preserve"> 件，没收药品器械 </w:t>
      </w:r>
      <w:r>
        <w:t>4</w:t>
      </w:r>
      <w:r>
        <w:rPr>
          <w:spacing w:val="-10"/>
        </w:rPr>
        <w:t xml:space="preserve"> 件，取缔游医摊 点</w:t>
      </w:r>
    </w:p>
    <w:p>
      <w:pPr>
        <w:pStyle w:val="4"/>
        <w:spacing w:before="215"/>
        <w:jc w:val="both"/>
      </w:pPr>
      <w:r>
        <w:rPr>
          <w:spacing w:val="-4"/>
        </w:rPr>
        <w:t>11</w:t>
      </w:r>
      <w:r>
        <w:rPr>
          <w:spacing w:val="-21"/>
        </w:rPr>
        <w:t xml:space="preserve"> 个，共计罚没款 </w:t>
      </w:r>
      <w:r>
        <w:rPr>
          <w:spacing w:val="-4"/>
        </w:rPr>
        <w:t>69.4529</w:t>
      </w:r>
      <w:r>
        <w:rPr>
          <w:spacing w:val="-22"/>
        </w:rPr>
        <w:t xml:space="preserve"> 万元。</w:t>
      </w:r>
    </w:p>
    <w:p>
      <w:pPr>
        <w:pStyle w:val="9"/>
        <w:numPr>
          <w:ilvl w:val="0"/>
          <w:numId w:val="13"/>
        </w:numPr>
        <w:tabs>
          <w:tab w:val="left" w:pos="1068"/>
        </w:tabs>
        <w:spacing w:before="330" w:after="0" w:line="364" w:lineRule="auto"/>
        <w:ind w:left="114" w:right="317" w:firstLine="628"/>
        <w:jc w:val="both"/>
        <w:rPr>
          <w:sz w:val="32"/>
        </w:rPr>
      </w:pPr>
      <w:r>
        <w:rPr>
          <w:spacing w:val="-2"/>
          <w:sz w:val="32"/>
        </w:rPr>
        <w:t>提高医疗服务质量。市、县级质控中心常态化开展合理</w:t>
      </w:r>
      <w:r>
        <w:rPr>
          <w:spacing w:val="-11"/>
          <w:sz w:val="32"/>
        </w:rPr>
        <w:t xml:space="preserve">检 查、合理用药等质量控制 </w:t>
      </w:r>
      <w:r>
        <w:rPr>
          <w:spacing w:val="-4"/>
          <w:sz w:val="32"/>
        </w:rPr>
        <w:t>405</w:t>
      </w:r>
      <w:r>
        <w:rPr>
          <w:spacing w:val="-10"/>
          <w:sz w:val="32"/>
        </w:rPr>
        <w:t xml:space="preserve"> 场次。开展改善群众就医感受</w:t>
      </w:r>
      <w:r>
        <w:rPr>
          <w:spacing w:val="-7"/>
          <w:sz w:val="32"/>
        </w:rPr>
        <w:t>等专 项行动，与残联联合出台残疾人便利就医十条措施，市中</w:t>
      </w:r>
      <w:r>
        <w:rPr>
          <w:spacing w:val="-6"/>
          <w:sz w:val="32"/>
        </w:rPr>
        <w:t>心医院 河东院区高质量建设医疗环境，打造星级就医体验，市中医院在 省内率先实现了人工智能语音随访，市第一人民医院</w:t>
      </w:r>
      <w:r>
        <w:rPr>
          <w:sz w:val="32"/>
        </w:rPr>
        <w:t>成为全省首 批医保移动支付试点医院。</w:t>
      </w:r>
    </w:p>
    <w:p>
      <w:pPr>
        <w:pStyle w:val="4"/>
        <w:spacing w:line="373" w:lineRule="exact"/>
        <w:ind w:left="755"/>
        <w:jc w:val="both"/>
      </w:pPr>
      <w:r>
        <w:rPr>
          <w:spacing w:val="-20"/>
        </w:rPr>
        <w:t xml:space="preserve">通过对 </w:t>
      </w:r>
      <w:r>
        <w:rPr>
          <w:spacing w:val="-4"/>
        </w:rPr>
        <w:t>2023</w:t>
      </w:r>
      <w:r>
        <w:rPr>
          <w:spacing w:val="-18"/>
        </w:rPr>
        <w:t xml:space="preserve"> 年实际工作的总结，结合各项资金的使用情况，</w:t>
      </w:r>
    </w:p>
    <w:p>
      <w:pPr>
        <w:pStyle w:val="4"/>
        <w:spacing w:before="83"/>
        <w:jc w:val="both"/>
      </w:pPr>
      <w:r>
        <w:rPr>
          <w:spacing w:val="-11"/>
        </w:rPr>
        <w:t xml:space="preserve">我系统综合得分 </w:t>
      </w:r>
      <w:r>
        <w:rPr>
          <w:spacing w:val="-4"/>
        </w:rPr>
        <w:t>86.71</w:t>
      </w:r>
      <w:r>
        <w:rPr>
          <w:spacing w:val="-22"/>
        </w:rPr>
        <w:t xml:space="preserve"> 分，部门整体支出绩效为“良”。</w:t>
      </w:r>
    </w:p>
    <w:p>
      <w:pPr>
        <w:pStyle w:val="4"/>
        <w:spacing w:after="0"/>
        <w:jc w:val="both"/>
        <w:sectPr>
          <w:footerReference r:id="rId13" w:type="default"/>
          <w:pgSz w:w="11910" w:h="16840"/>
          <w:pgMar w:top="1920" w:right="1275" w:bottom="280" w:left="1417" w:header="0" w:footer="0" w:gutter="0"/>
          <w:cols w:space="720" w:num="1"/>
        </w:sectPr>
      </w:pPr>
    </w:p>
    <w:p>
      <w:pPr>
        <w:pStyle w:val="4"/>
        <w:spacing w:before="168"/>
        <w:ind w:left="755"/>
      </w:pPr>
      <w:r>
        <w:rPr>
          <w:spacing w:val="-5"/>
        </w:rPr>
        <w:t>(二)存在问题</w:t>
      </w:r>
    </w:p>
    <w:p>
      <w:pPr>
        <w:pStyle w:val="4"/>
        <w:spacing w:before="83" w:line="288" w:lineRule="auto"/>
        <w:ind w:right="94" w:firstLine="199"/>
      </w:pPr>
      <w:r>
        <w:rPr>
          <w:spacing w:val="-14"/>
        </w:rPr>
        <w:t>一是因我系统涉及医院预算，且因医院收入存在很多不确定性，</w:t>
      </w:r>
      <w:r>
        <w:rPr>
          <w:spacing w:val="-2"/>
        </w:rPr>
        <w:t xml:space="preserve">导致偏离度大。二是 </w:t>
      </w:r>
      <w:r>
        <w:t>2023</w:t>
      </w:r>
      <w:r>
        <w:rPr>
          <w:spacing w:val="-4"/>
        </w:rPr>
        <w:t xml:space="preserve"> 年我委大力提倡节俭，同时在项目开</w:t>
      </w:r>
      <w:r>
        <w:rPr>
          <w:spacing w:val="-2"/>
        </w:rPr>
        <w:t>展时也会多方比价，导致项目完成后还存在结余资金。</w:t>
      </w:r>
    </w:p>
    <w:p>
      <w:pPr>
        <w:pStyle w:val="4"/>
        <w:spacing w:before="2"/>
        <w:ind w:left="755"/>
      </w:pPr>
      <w:r>
        <w:rPr>
          <w:spacing w:val="-5"/>
        </w:rPr>
        <w:t>(三)改进建议</w:t>
      </w:r>
    </w:p>
    <w:p>
      <w:pPr>
        <w:pStyle w:val="9"/>
        <w:numPr>
          <w:ilvl w:val="0"/>
          <w:numId w:val="14"/>
        </w:numPr>
        <w:tabs>
          <w:tab w:val="left" w:pos="1072"/>
        </w:tabs>
        <w:spacing w:before="86" w:after="0" w:line="288" w:lineRule="auto"/>
        <w:ind w:left="114" w:right="94" w:firstLine="640"/>
        <w:jc w:val="left"/>
        <w:rPr>
          <w:sz w:val="32"/>
        </w:rPr>
      </w:pPr>
      <w:r>
        <w:rPr>
          <w:spacing w:val="-9"/>
          <w:sz w:val="32"/>
        </w:rPr>
        <w:t>预算绩效目标的编制的有待量化和细化，整体支出绩效与</w:t>
      </w:r>
      <w:r>
        <w:rPr>
          <w:spacing w:val="-20"/>
          <w:sz w:val="32"/>
        </w:rPr>
        <w:t>产出的数量指标、质量指标缺乏对应性、关联性和可操作性不强，</w:t>
      </w:r>
      <w:r>
        <w:rPr>
          <w:spacing w:val="-2"/>
          <w:sz w:val="32"/>
        </w:rPr>
        <w:t>有些绩效目标指标难以量化。</w:t>
      </w:r>
    </w:p>
    <w:p>
      <w:pPr>
        <w:pStyle w:val="9"/>
        <w:numPr>
          <w:ilvl w:val="0"/>
          <w:numId w:val="14"/>
        </w:numPr>
        <w:tabs>
          <w:tab w:val="left" w:pos="1072"/>
        </w:tabs>
        <w:spacing w:before="51" w:after="0" w:line="321" w:lineRule="auto"/>
        <w:ind w:left="114" w:right="94" w:firstLine="640"/>
        <w:jc w:val="left"/>
        <w:rPr>
          <w:sz w:val="32"/>
        </w:rPr>
      </w:pPr>
      <w:r>
        <w:rPr>
          <w:spacing w:val="-13"/>
          <w:sz w:val="32"/>
        </w:rPr>
        <w:t>预算控制工作受限，年初的预算不含部分项目预算追加指</w:t>
      </w:r>
      <w:r>
        <w:rPr>
          <w:spacing w:val="-20"/>
          <w:sz w:val="32"/>
        </w:rPr>
        <w:t>标，年中增加的预算调整数较大，造成预算控制工作的难度加大。</w:t>
      </w:r>
    </w:p>
    <w:p>
      <w:pPr>
        <w:pStyle w:val="9"/>
        <w:numPr>
          <w:ilvl w:val="0"/>
          <w:numId w:val="14"/>
        </w:numPr>
        <w:tabs>
          <w:tab w:val="left" w:pos="1072"/>
        </w:tabs>
        <w:spacing w:before="3" w:after="0" w:line="324" w:lineRule="auto"/>
        <w:ind w:left="114" w:right="255" w:firstLine="640"/>
        <w:jc w:val="both"/>
        <w:rPr>
          <w:sz w:val="32"/>
        </w:rPr>
      </w:pPr>
      <w:r>
        <w:rPr>
          <w:spacing w:val="-10"/>
          <w:sz w:val="32"/>
        </w:rPr>
        <w:t>绩效评价工作人员专业知识不熟练，对项目绩效评价工作</w:t>
      </w:r>
      <w:r>
        <w:rPr>
          <w:spacing w:val="-13"/>
          <w:sz w:val="32"/>
        </w:rPr>
        <w:t>的认识不够，只注重资金的争取和执行工作，轻视了资金的后续</w:t>
      </w:r>
      <w:r>
        <w:rPr>
          <w:spacing w:val="-2"/>
          <w:sz w:val="32"/>
        </w:rPr>
        <w:t>绩效评价工作。</w:t>
      </w:r>
    </w:p>
    <w:p>
      <w:pPr>
        <w:pStyle w:val="9"/>
        <w:numPr>
          <w:ilvl w:val="0"/>
          <w:numId w:val="14"/>
        </w:numPr>
        <w:tabs>
          <w:tab w:val="left" w:pos="1072"/>
        </w:tabs>
        <w:spacing w:before="0" w:after="0" w:line="324" w:lineRule="auto"/>
        <w:ind w:left="114" w:right="255" w:firstLine="640"/>
        <w:jc w:val="left"/>
        <w:rPr>
          <w:sz w:val="32"/>
        </w:rPr>
      </w:pPr>
      <w:r>
        <w:rPr>
          <w:spacing w:val="-10"/>
          <w:sz w:val="32"/>
        </w:rPr>
        <w:t>绩效目标评价工作制度体系不健全，尚未建立规范的绩效</w:t>
      </w:r>
      <w:r>
        <w:rPr>
          <w:spacing w:val="-2"/>
          <w:sz w:val="32"/>
        </w:rPr>
        <w:t>管理工作流程和操作细节。</w:t>
      </w:r>
    </w:p>
    <w:p>
      <w:pPr>
        <w:pStyle w:val="9"/>
        <w:numPr>
          <w:ilvl w:val="0"/>
          <w:numId w:val="14"/>
        </w:numPr>
        <w:tabs>
          <w:tab w:val="left" w:pos="1072"/>
        </w:tabs>
        <w:spacing w:before="0" w:after="0" w:line="321" w:lineRule="auto"/>
        <w:ind w:left="114" w:right="255" w:firstLine="640"/>
        <w:jc w:val="left"/>
        <w:rPr>
          <w:sz w:val="32"/>
        </w:rPr>
      </w:pPr>
      <w:r>
        <w:rPr>
          <w:spacing w:val="-11"/>
          <w:sz w:val="32"/>
        </w:rPr>
        <w:t>针对我系统偏离度大的问题，希望绩效评价专家组能针对</w:t>
      </w:r>
      <w:r>
        <w:rPr>
          <w:spacing w:val="-2"/>
          <w:sz w:val="32"/>
        </w:rPr>
        <w:t>我系统出台切实有效的评价体系。</w:t>
      </w:r>
    </w:p>
    <w:p>
      <w:pPr>
        <w:pStyle w:val="4"/>
        <w:ind w:left="0"/>
      </w:pPr>
    </w:p>
    <w:p>
      <w:pPr>
        <w:pStyle w:val="4"/>
        <w:spacing w:before="155"/>
        <w:ind w:left="0"/>
      </w:pPr>
    </w:p>
    <w:p>
      <w:pPr>
        <w:pStyle w:val="4"/>
        <w:spacing w:before="1"/>
        <w:ind w:left="755"/>
      </w:pPr>
      <w:r>
        <w:rPr>
          <w:spacing w:val="-4"/>
        </w:rPr>
        <w:t>附表：部门预算项目支出绩效自评表（2023</w:t>
      </w:r>
      <w:r>
        <w:rPr>
          <w:spacing w:val="-18"/>
        </w:rPr>
        <w:t xml:space="preserve"> 年度</w:t>
      </w:r>
      <w:r>
        <w:rPr>
          <w:spacing w:val="-10"/>
        </w:rPr>
        <w:t>）</w:t>
      </w:r>
    </w:p>
    <w:p>
      <w:pPr>
        <w:pStyle w:val="4"/>
        <w:spacing w:after="0"/>
        <w:sectPr>
          <w:footerReference r:id="rId14" w:type="even"/>
          <w:pgSz w:w="11910" w:h="16840"/>
          <w:pgMar w:top="1920" w:right="1275" w:bottom="1060" w:left="1417" w:header="0" w:footer="865" w:gutter="0"/>
          <w:cols w:space="720" w:num="1"/>
        </w:sectPr>
      </w:pPr>
    </w:p>
    <w:p>
      <w:pPr>
        <w:pStyle w:val="2"/>
        <w:spacing w:before="247"/>
        <w:ind w:left="114" w:right="0"/>
        <w:jc w:val="left"/>
      </w:pPr>
      <w:r>
        <w:rPr>
          <w:spacing w:val="-5"/>
        </w:rPr>
        <w:t>第五部分 附表</w:t>
      </w:r>
    </w:p>
    <w:p>
      <w:pPr>
        <w:pStyle w:val="4"/>
        <w:spacing w:before="398" w:line="513" w:lineRule="auto"/>
        <w:ind w:right="5897"/>
        <w:rPr>
          <w:rFonts w:ascii="仿宋" w:eastAsia="仿宋"/>
        </w:rPr>
      </w:pPr>
      <w:bookmarkStart w:id="42" w:name="一、收入支出决算总表"/>
      <w:bookmarkEnd w:id="42"/>
      <w:r>
        <w:rPr>
          <w:rFonts w:ascii="仿宋" w:eastAsia="仿宋"/>
          <w:spacing w:val="-2"/>
        </w:rPr>
        <w:t>一、收入支出决算总表</w:t>
      </w:r>
      <w:bookmarkStart w:id="43" w:name="二、收入决算表"/>
      <w:bookmarkEnd w:id="43"/>
      <w:r>
        <w:rPr>
          <w:rFonts w:ascii="仿宋" w:eastAsia="仿宋"/>
          <w:spacing w:val="-2"/>
        </w:rPr>
        <w:t>二、收入决算表</w:t>
      </w:r>
    </w:p>
    <w:p>
      <w:pPr>
        <w:pStyle w:val="4"/>
        <w:rPr>
          <w:rFonts w:ascii="仿宋" w:eastAsia="仿宋"/>
        </w:rPr>
      </w:pPr>
      <w:bookmarkStart w:id="44" w:name="三、支出决算表"/>
      <w:bookmarkEnd w:id="44"/>
      <w:r>
        <w:rPr>
          <w:rFonts w:ascii="仿宋" w:eastAsia="仿宋"/>
          <w:spacing w:val="-5"/>
        </w:rPr>
        <w:t>三、支出决算表</w:t>
      </w:r>
    </w:p>
    <w:p>
      <w:pPr>
        <w:pStyle w:val="4"/>
        <w:spacing w:before="58"/>
        <w:ind w:left="0"/>
        <w:rPr>
          <w:rFonts w:ascii="仿宋"/>
        </w:rPr>
      </w:pPr>
    </w:p>
    <w:p>
      <w:pPr>
        <w:pStyle w:val="4"/>
        <w:spacing w:line="513" w:lineRule="auto"/>
        <w:ind w:right="4618"/>
        <w:rPr>
          <w:rFonts w:ascii="仿宋" w:eastAsia="仿宋"/>
        </w:rPr>
      </w:pPr>
      <w:bookmarkStart w:id="45" w:name="四、财政拨款收入支出决算总表"/>
      <w:bookmarkEnd w:id="45"/>
      <w:r>
        <w:rPr>
          <w:rFonts w:ascii="仿宋" w:eastAsia="仿宋"/>
          <w:spacing w:val="-2"/>
        </w:rPr>
        <w:t>四、财政拨款收入支出决算总表</w:t>
      </w:r>
      <w:bookmarkStart w:id="46" w:name="五、财政拨款支出决算明细表"/>
      <w:bookmarkEnd w:id="46"/>
      <w:r>
        <w:rPr>
          <w:rFonts w:ascii="仿宋" w:eastAsia="仿宋"/>
          <w:spacing w:val="-2"/>
        </w:rPr>
        <w:t>五、财政拨款支出决算明细表</w:t>
      </w:r>
    </w:p>
    <w:p>
      <w:pPr>
        <w:pStyle w:val="4"/>
        <w:spacing w:before="1"/>
        <w:rPr>
          <w:rFonts w:ascii="仿宋" w:eastAsia="仿宋"/>
        </w:rPr>
      </w:pPr>
      <w:bookmarkStart w:id="47" w:name="六、一般公共预算财政拨款支出决算表"/>
      <w:bookmarkEnd w:id="47"/>
      <w:r>
        <w:rPr>
          <w:rFonts w:ascii="仿宋" w:eastAsia="仿宋"/>
          <w:spacing w:val="-5"/>
        </w:rPr>
        <w:t>六、一般公共预算财政拨款支出决算表</w:t>
      </w:r>
    </w:p>
    <w:p>
      <w:pPr>
        <w:pStyle w:val="4"/>
        <w:spacing w:before="56"/>
        <w:ind w:left="0"/>
        <w:rPr>
          <w:rFonts w:ascii="仿宋"/>
        </w:rPr>
      </w:pPr>
    </w:p>
    <w:p>
      <w:pPr>
        <w:pStyle w:val="4"/>
        <w:spacing w:line="513" w:lineRule="auto"/>
        <w:ind w:right="2698"/>
        <w:rPr>
          <w:rFonts w:ascii="仿宋" w:eastAsia="仿宋"/>
        </w:rPr>
      </w:pPr>
      <w:bookmarkStart w:id="48" w:name="七、一般公共预算财政拨款支出决算明细表"/>
      <w:bookmarkEnd w:id="48"/>
      <w:r>
        <w:rPr>
          <w:rFonts w:ascii="仿宋" w:eastAsia="仿宋"/>
          <w:spacing w:val="-2"/>
        </w:rPr>
        <w:t xml:space="preserve">七、一般公共预算财政拨款支出决算明细表 </w:t>
      </w:r>
      <w:bookmarkStart w:id="49" w:name="八、一般公共预算财政拨款基本支出决算表"/>
      <w:bookmarkEnd w:id="49"/>
      <w:r>
        <w:rPr>
          <w:rFonts w:ascii="仿宋" w:eastAsia="仿宋"/>
          <w:spacing w:val="-2"/>
        </w:rPr>
        <w:t>八、一般公共预算财政拨款基本支出决算表九、一般公共预算财政拨款项目支出决算表十、政府性基金预算财政拨款收入支出决算表</w:t>
      </w:r>
    </w:p>
    <w:p>
      <w:pPr>
        <w:pStyle w:val="4"/>
        <w:spacing w:line="513" w:lineRule="auto"/>
        <w:ind w:right="2057"/>
        <w:rPr>
          <w:rFonts w:ascii="仿宋" w:eastAsia="仿宋"/>
        </w:rPr>
      </w:pPr>
      <w:bookmarkStart w:id="50" w:name="十一、国有资本经营预算财政拨款收入支出决算表"/>
      <w:bookmarkEnd w:id="50"/>
      <w:r>
        <w:rPr>
          <w:rFonts w:ascii="仿宋" w:eastAsia="仿宋"/>
          <w:spacing w:val="-2"/>
        </w:rPr>
        <w:t>十一、国有资本经营预算财政拨款收入支出决算表</w:t>
      </w:r>
      <w:bookmarkStart w:id="51" w:name="十二、国有资本经营预算财政拨款支出决算表"/>
      <w:bookmarkEnd w:id="51"/>
      <w:r>
        <w:rPr>
          <w:rFonts w:ascii="仿宋" w:eastAsia="仿宋"/>
          <w:spacing w:val="-2"/>
        </w:rPr>
        <w:t>十二、国有资本经营预算财政拨款支出决算表</w:t>
      </w:r>
    </w:p>
    <w:p>
      <w:pPr>
        <w:pStyle w:val="4"/>
        <w:spacing w:line="414" w:lineRule="exact"/>
        <w:rPr>
          <w:rFonts w:ascii="仿宋" w:hAnsi="仿宋" w:eastAsia="仿宋"/>
        </w:rPr>
      </w:pPr>
      <w:bookmarkStart w:id="52" w:name="十三、财政拨款“三公”经费支出决算表"/>
      <w:bookmarkEnd w:id="52"/>
      <w:r>
        <w:rPr>
          <w:rFonts w:ascii="仿宋" w:hAnsi="仿宋" w:eastAsia="仿宋"/>
          <w:spacing w:val="-5"/>
        </w:rPr>
        <w:t>十三、财政拨款“三公”经费支出决算表</w:t>
      </w:r>
    </w:p>
    <w:p>
      <w:pPr>
        <w:pStyle w:val="4"/>
        <w:ind w:left="0"/>
        <w:rPr>
          <w:rFonts w:ascii="仿宋"/>
        </w:rPr>
      </w:pPr>
    </w:p>
    <w:p>
      <w:pPr>
        <w:pStyle w:val="4"/>
        <w:ind w:left="0"/>
        <w:rPr>
          <w:rFonts w:ascii="仿宋"/>
        </w:rPr>
      </w:pPr>
    </w:p>
    <w:p>
      <w:pPr>
        <w:pStyle w:val="4"/>
        <w:spacing w:before="223"/>
        <w:ind w:left="0"/>
        <w:rPr>
          <w:rFonts w:ascii="仿宋"/>
        </w:rPr>
      </w:pPr>
    </w:p>
    <w:p>
      <w:pPr>
        <w:pStyle w:val="4"/>
      </w:pPr>
      <w:r>
        <w:rPr>
          <w:spacing w:val="-35"/>
        </w:rPr>
        <w:t>—</w:t>
      </w:r>
      <w:r>
        <w:rPr>
          <w:spacing w:val="-5"/>
        </w:rPr>
        <w:t>2—</w:t>
      </w:r>
    </w:p>
    <w:sectPr>
      <w:footerReference r:id="rId15" w:type="default"/>
      <w:pgSz w:w="11910" w:h="16840"/>
      <w:pgMar w:top="1920" w:right="1275" w:bottom="280"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libri">
    <w:altName w:val="DejaVu Sans"/>
    <w:panose1 w:val="020F0502020204030204"/>
    <w:charset w:val="86"/>
    <w:family w:val="swiss"/>
    <w:pitch w:val="default"/>
    <w:sig w:usb0="00000000" w:usb1="00000000"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6042025</wp:posOffset>
              </wp:positionH>
              <wp:positionV relativeFrom="page">
                <wp:posOffset>10107295</wp:posOffset>
              </wp:positionV>
              <wp:extent cx="560070" cy="203835"/>
              <wp:effectExtent l="0" t="0" r="0" b="0"/>
              <wp:wrapNone/>
              <wp:docPr id="2" name="Textbox 2"/>
              <wp:cNvGraphicFramePr/>
              <a:graphic xmlns:a="http://schemas.openxmlformats.org/drawingml/2006/main">
                <a:graphicData uri="http://schemas.microsoft.com/office/word/2010/wordprocessingShape">
                  <wps:wsp>
                    <wps:cNvSpPr txBox="true"/>
                    <wps:spPr>
                      <a:xfrm>
                        <a:off x="0" y="0"/>
                        <a:ext cx="560070" cy="203835"/>
                      </a:xfrm>
                      <a:prstGeom prst="rect">
                        <a:avLst/>
                      </a:prstGeom>
                    </wps:spPr>
                    <wps:txbx>
                      <w:txbxContent>
                        <w:p>
                          <w:pPr>
                            <w:spacing w:before="0" w:line="321" w:lineRule="exact"/>
                            <w:ind w:left="20" w:right="0" w:firstLine="0"/>
                            <w:jc w:val="left"/>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11</w:t>
                          </w:r>
                          <w:r>
                            <w:rPr>
                              <w:sz w:val="28"/>
                            </w:rPr>
                            <w:fldChar w:fldCharType="end"/>
                          </w:r>
                          <w:r>
                            <w:rPr>
                              <w:sz w:val="28"/>
                            </w:rPr>
                            <w:t xml:space="preserve"> </w:t>
                          </w:r>
                          <w:r>
                            <w:rPr>
                              <w:spacing w:val="-10"/>
                              <w:sz w:val="28"/>
                            </w:rPr>
                            <w:t>-</w:t>
                          </w:r>
                        </w:p>
                      </w:txbxContent>
                    </wps:txbx>
                    <wps:bodyPr wrap="square" lIns="0" tIns="0" rIns="0" bIns="0" rtlCol="0">
                      <a:noAutofit/>
                    </wps:bodyPr>
                  </wps:wsp>
                </a:graphicData>
              </a:graphic>
            </wp:anchor>
          </w:drawing>
        </mc:Choice>
        <mc:Fallback>
          <w:pict>
            <v:shape id="Textbox 2" o:spid="_x0000_s1026" o:spt="202" type="#_x0000_t202" style="position:absolute;left:0pt;margin-left:475.75pt;margin-top:795.85pt;height:16.05pt;width:44.1pt;mso-position-horizontal-relative:page;mso-position-vertical-relative:page;z-index:-251656192;mso-width-relative:page;mso-height-relative:page;" filled="f" stroked="f" coordsize="21600,21600" o:gfxdata="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Jes&#10;b7nbAAAADgEAAA8AAAAAAAAAAQAgAAAAOAAAAGRycy9kb3ducmV2LnhtbFBLAQIUABQAAAAIAIdO&#10;4kDsFbYwmAEAACgDAAAOAAAAAAAAAAEAIAAAAEABAABkcnMvZTJvRG9jLnhtbFBLBQYAAAAABgAG&#10;AFkBAABKBQ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11</w:t>
                    </w:r>
                    <w:r>
                      <w:rPr>
                        <w:sz w:val="28"/>
                      </w:rPr>
                      <w:fldChar w:fldCharType="end"/>
                    </w:r>
                    <w:r>
                      <w:rPr>
                        <w:sz w:val="28"/>
                      </w:rPr>
                      <w:t xml:space="preserve"> </w:t>
                    </w:r>
                    <w:r>
                      <w:rPr>
                        <w:spacing w:val="-10"/>
                        <w:sz w:val="28"/>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sz w:val="20"/>
      </w:rPr>
      <mc:AlternateContent>
        <mc:Choice Requires="wps">
          <w:drawing>
            <wp:anchor distT="0" distB="0" distL="0" distR="0" simplePos="0" relativeHeight="251662336" behindDoc="1" locked="0" layoutInCell="1" allowOverlap="1">
              <wp:simplePos x="0" y="0"/>
              <wp:positionH relativeFrom="page">
                <wp:posOffset>959485</wp:posOffset>
              </wp:positionH>
              <wp:positionV relativeFrom="page">
                <wp:posOffset>10003155</wp:posOffset>
              </wp:positionV>
              <wp:extent cx="488315" cy="227965"/>
              <wp:effectExtent l="0" t="0" r="0" b="0"/>
              <wp:wrapNone/>
              <wp:docPr id="14" name="Textbox 14"/>
              <wp:cNvGraphicFramePr/>
              <a:graphic xmlns:a="http://schemas.openxmlformats.org/drawingml/2006/main">
                <a:graphicData uri="http://schemas.microsoft.com/office/word/2010/wordprocessingShape">
                  <wps:wsp>
                    <wps:cNvSpPr txBox="true"/>
                    <wps:spPr>
                      <a:xfrm>
                        <a:off x="0" y="0"/>
                        <a:ext cx="488315" cy="227965"/>
                      </a:xfrm>
                      <a:prstGeom prst="rect">
                        <a:avLst/>
                      </a:prstGeom>
                    </wps:spPr>
                    <wps:txbx>
                      <w:txbxContent>
                        <w:p>
                          <w:pPr>
                            <w:pStyle w:val="4"/>
                            <w:spacing w:line="359" w:lineRule="exact"/>
                            <w:ind w:left="20"/>
                          </w:pPr>
                          <w:r>
                            <w:rPr>
                              <w:spacing w:val="-35"/>
                            </w:rPr>
                            <w:t>—</w:t>
                          </w:r>
                          <w:r>
                            <w:rPr>
                              <w:spacing w:val="-13"/>
                            </w:rPr>
                            <w:t>2—</w:t>
                          </w:r>
                        </w:p>
                      </w:txbxContent>
                    </wps:txbx>
                    <wps:bodyPr wrap="square" lIns="0" tIns="0" rIns="0" bIns="0" rtlCol="0">
                      <a:noAutofit/>
                    </wps:bodyPr>
                  </wps:wsp>
                </a:graphicData>
              </a:graphic>
            </wp:anchor>
          </w:drawing>
        </mc:Choice>
        <mc:Fallback>
          <w:pict>
            <v:shape id="Textbox 14" o:spid="_x0000_s1026" o:spt="202" type="#_x0000_t202" style="position:absolute;left:0pt;margin-left:75.55pt;margin-top:787.65pt;height:17.95pt;width:38.45pt;mso-position-horizontal-relative:page;mso-position-vertical-relative:page;z-index:-251654144;mso-width-relative:page;mso-height-relative:page;" filled="f" stroked="f" coordsize="21600,21600" o:gfxdata="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Az&#10;kWKZ2gAAAA0BAAAPAAAAAAAAAAEAIAAAADgAAABkcnMvZG93bnJldi54bWxQSwECFAAUAAAACACH&#10;TuJAkolI/ZoBAAAqAwAADgAAAAAAAAABACAAAAA/AQAAZHJzL2Uyb0RvYy54bWxQSwUGAAAAAAYA&#10;BgBZAQAASwUAAAAA&#10;">
              <v:fill on="f" focussize="0,0"/>
              <v:stroke on="f"/>
              <v:imagedata o:title=""/>
              <o:lock v:ext="edit" aspectratio="f"/>
              <v:textbox inset="0mm,0mm,0mm,0mm">
                <w:txbxContent>
                  <w:p>
                    <w:pPr>
                      <w:pStyle w:val="4"/>
                      <w:spacing w:line="359" w:lineRule="exact"/>
                      <w:ind w:left="20"/>
                    </w:pPr>
                    <w:r>
                      <w:rPr>
                        <w:spacing w:val="-35"/>
                      </w:rPr>
                      <w:t>—</w:t>
                    </w:r>
                    <w:r>
                      <w:rPr>
                        <w:spacing w:val="-13"/>
                      </w:rPr>
                      <w:t>2—</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959485</wp:posOffset>
              </wp:positionH>
              <wp:positionV relativeFrom="page">
                <wp:posOffset>10107295</wp:posOffset>
              </wp:positionV>
              <wp:extent cx="560070" cy="203835"/>
              <wp:effectExtent l="0" t="0" r="0" b="0"/>
              <wp:wrapNone/>
              <wp:docPr id="1" name="Textbox 1"/>
              <wp:cNvGraphicFramePr/>
              <a:graphic xmlns:a="http://schemas.openxmlformats.org/drawingml/2006/main">
                <a:graphicData uri="http://schemas.microsoft.com/office/word/2010/wordprocessingShape">
                  <wps:wsp>
                    <wps:cNvSpPr txBox="true"/>
                    <wps:spPr>
                      <a:xfrm>
                        <a:off x="0" y="0"/>
                        <a:ext cx="560070" cy="203835"/>
                      </a:xfrm>
                      <a:prstGeom prst="rect">
                        <a:avLst/>
                      </a:prstGeom>
                    </wps:spPr>
                    <wps:txbx>
                      <w:txbxContent>
                        <w:p>
                          <w:pPr>
                            <w:spacing w:before="0" w:line="321" w:lineRule="exact"/>
                            <w:ind w:left="20" w:right="0" w:firstLine="0"/>
                            <w:jc w:val="left"/>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sz w:val="28"/>
                            </w:rPr>
                            <w:t xml:space="preserve"> </w:t>
                          </w:r>
                          <w:r>
                            <w:rPr>
                              <w:spacing w:val="-10"/>
                              <w:sz w:val="28"/>
                            </w:rPr>
                            <w:t>-</w:t>
                          </w:r>
                        </w:p>
                      </w:txbxContent>
                    </wps:txbx>
                    <wps:bodyPr wrap="square" lIns="0" tIns="0" rIns="0" bIns="0" rtlCol="0">
                      <a:noAutofit/>
                    </wps:bodyPr>
                  </wps:wsp>
                </a:graphicData>
              </a:graphic>
            </wp:anchor>
          </w:drawing>
        </mc:Choice>
        <mc:Fallback>
          <w:pict>
            <v:shape id="Textbox 1" o:spid="_x0000_s1026" o:spt="202" type="#_x0000_t202" style="position:absolute;left:0pt;margin-left:75.55pt;margin-top:795.85pt;height:16.05pt;width:44.1pt;mso-position-horizontal-relative:page;mso-position-vertical-relative:page;z-index:-251657216;mso-width-relative:page;mso-height-relative:page;" filled="f" stroked="f" coordsize="21600,21600" o:gfxdata="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DcK8dX&#10;2gAAAA0BAAAPAAAAAAAAAAEAIAAAADgAAABkcnMvZG93bnJldi54bWxQSwECFAAUAAAACACHTuJA&#10;mpY0s5cBAAAoAwAADgAAAAAAAAABACAAAAA/AQAAZHJzL2Uyb0RvYy54bWxQSwUGAAAAAAYABgBZ&#10;AQAASAU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sz w:val="28"/>
                      </w:rPr>
                      <w:t xml:space="preserve"> </w:t>
                    </w:r>
                    <w:r>
                      <w:rPr>
                        <w:spacing w:val="-10"/>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sz w:val="20"/>
      </w:rPr>
      <mc:AlternateContent>
        <mc:Choice Requires="wps">
          <w:drawing>
            <wp:anchor distT="0" distB="0" distL="0" distR="0" simplePos="0" relativeHeight="251661312" behindDoc="1" locked="0" layoutInCell="1" allowOverlap="1">
              <wp:simplePos x="0" y="0"/>
              <wp:positionH relativeFrom="page">
                <wp:posOffset>959485</wp:posOffset>
              </wp:positionH>
              <wp:positionV relativeFrom="page">
                <wp:posOffset>6871335</wp:posOffset>
              </wp:positionV>
              <wp:extent cx="488315" cy="227965"/>
              <wp:effectExtent l="0" t="0" r="0" b="0"/>
              <wp:wrapNone/>
              <wp:docPr id="11" name="Textbox 11"/>
              <wp:cNvGraphicFramePr/>
              <a:graphic xmlns:a="http://schemas.openxmlformats.org/drawingml/2006/main">
                <a:graphicData uri="http://schemas.microsoft.com/office/word/2010/wordprocessingShape">
                  <wps:wsp>
                    <wps:cNvSpPr txBox="true"/>
                    <wps:spPr>
                      <a:xfrm>
                        <a:off x="0" y="0"/>
                        <a:ext cx="488315" cy="227965"/>
                      </a:xfrm>
                      <a:prstGeom prst="rect">
                        <a:avLst/>
                      </a:prstGeom>
                    </wps:spPr>
                    <wps:txbx>
                      <w:txbxContent>
                        <w:p>
                          <w:pPr>
                            <w:pStyle w:val="4"/>
                            <w:spacing w:line="359" w:lineRule="exact"/>
                            <w:ind w:left="20"/>
                          </w:pPr>
                          <w:r>
                            <w:rPr>
                              <w:spacing w:val="-35"/>
                            </w:rPr>
                            <w:t>—</w:t>
                          </w:r>
                          <w:r>
                            <w:rPr>
                              <w:spacing w:val="-13"/>
                            </w:rPr>
                            <w:t>2—</w:t>
                          </w:r>
                        </w:p>
                      </w:txbxContent>
                    </wps:txbx>
                    <wps:bodyPr wrap="square" lIns="0" tIns="0" rIns="0" bIns="0" rtlCol="0">
                      <a:noAutofit/>
                    </wps:bodyPr>
                  </wps:wsp>
                </a:graphicData>
              </a:graphic>
            </wp:anchor>
          </w:drawing>
        </mc:Choice>
        <mc:Fallback>
          <w:pict>
            <v:shape id="Textbox 11" o:spid="_x0000_s1026" o:spt="202" type="#_x0000_t202" style="position:absolute;left:0pt;margin-left:75.55pt;margin-top:541.05pt;height:17.95pt;width:38.45pt;mso-position-horizontal-relative:page;mso-position-vertical-relative:page;z-index:-251655168;mso-width-relative:page;mso-height-relative:page;" filled="f" stroked="f" coordsize="21600,21600" o:gfxdata="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DiIfj8&#10;1wAAAA0BAAAPAAAAAAAAAAEAIAAAADgAAABkcnMvZG93bnJldi54bWxQSwECFAAUAAAACACHTuJA&#10;AMG8vJoBAAAqAwAADgAAAAAAAAABACAAAAA8AQAAZHJzL2Uyb0RvYy54bWxQSwUGAAAAAAYABgBZ&#10;AQAASAUAAAAA&#10;">
              <v:fill on="f" focussize="0,0"/>
              <v:stroke on="f"/>
              <v:imagedata o:title=""/>
              <o:lock v:ext="edit" aspectratio="f"/>
              <v:textbox inset="0mm,0mm,0mm,0mm">
                <w:txbxContent>
                  <w:p>
                    <w:pPr>
                      <w:pStyle w:val="4"/>
                      <w:spacing w:line="359" w:lineRule="exact"/>
                      <w:ind w:left="20"/>
                    </w:pPr>
                    <w:r>
                      <w:rPr>
                        <w:spacing w:val="-35"/>
                      </w:rPr>
                      <w:t>—</w:t>
                    </w:r>
                    <w:r>
                      <w:rPr>
                        <w:spacing w:val="-13"/>
                      </w:rPr>
                      <w:t>2—</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sz w:val="20"/>
      </w:rPr>
      <mc:AlternateContent>
        <mc:Choice Requires="wps">
          <w:drawing>
            <wp:anchor distT="0" distB="0" distL="0" distR="0" simplePos="0" relativeHeight="251660288" behindDoc="1" locked="0" layoutInCell="1" allowOverlap="1">
              <wp:simplePos x="0" y="0"/>
              <wp:positionH relativeFrom="page">
                <wp:posOffset>959485</wp:posOffset>
              </wp:positionH>
              <wp:positionV relativeFrom="page">
                <wp:posOffset>6871335</wp:posOffset>
              </wp:positionV>
              <wp:extent cx="488315" cy="227965"/>
              <wp:effectExtent l="0" t="0" r="0" b="0"/>
              <wp:wrapNone/>
              <wp:docPr id="10" name="Textbox 10"/>
              <wp:cNvGraphicFramePr/>
              <a:graphic xmlns:a="http://schemas.openxmlformats.org/drawingml/2006/main">
                <a:graphicData uri="http://schemas.microsoft.com/office/word/2010/wordprocessingShape">
                  <wps:wsp>
                    <wps:cNvSpPr txBox="true"/>
                    <wps:spPr>
                      <a:xfrm>
                        <a:off x="0" y="0"/>
                        <a:ext cx="488315" cy="227965"/>
                      </a:xfrm>
                      <a:prstGeom prst="rect">
                        <a:avLst/>
                      </a:prstGeom>
                    </wps:spPr>
                    <wps:txbx>
                      <w:txbxContent>
                        <w:p>
                          <w:pPr>
                            <w:pStyle w:val="4"/>
                            <w:spacing w:line="359" w:lineRule="exact"/>
                            <w:ind w:left="20"/>
                          </w:pPr>
                          <w:r>
                            <w:rPr>
                              <w:spacing w:val="-35"/>
                            </w:rPr>
                            <w:t>—</w:t>
                          </w:r>
                          <w:r>
                            <w:rPr>
                              <w:spacing w:val="-13"/>
                            </w:rPr>
                            <w:t>2—</w:t>
                          </w:r>
                        </w:p>
                      </w:txbxContent>
                    </wps:txbx>
                    <wps:bodyPr wrap="square" lIns="0" tIns="0" rIns="0" bIns="0" rtlCol="0">
                      <a:noAutofit/>
                    </wps:bodyPr>
                  </wps:wsp>
                </a:graphicData>
              </a:graphic>
            </wp:anchor>
          </w:drawing>
        </mc:Choice>
        <mc:Fallback>
          <w:pict>
            <v:shape id="Textbox 10" o:spid="_x0000_s1026" o:spt="202" type="#_x0000_t202" style="position:absolute;left:0pt;margin-left:75.55pt;margin-top:541.05pt;height:17.95pt;width:38.45pt;mso-position-horizontal-relative:page;mso-position-vertical-relative:page;z-index:-251656192;mso-width-relative:page;mso-height-relative:page;" filled="f" stroked="f" coordsize="21600,21600" o:gfxdata="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OIh+PzX&#10;AAAADQEAAA8AAAAAAAAAAQAgAAAAOAAAAGRycy9kb3ducmV2LnhtbFBLAQIUABQAAAAIAIdO4kBF&#10;fl0fmQEAACoDAAAOAAAAAAAAAAEAIAAAADwBAABkcnMvZTJvRG9jLnhtbFBLBQYAAAAABgAGAFkB&#10;AABHBQAAAAA=&#10;">
              <v:fill on="f" focussize="0,0"/>
              <v:stroke on="f"/>
              <v:imagedata o:title=""/>
              <o:lock v:ext="edit" aspectratio="f"/>
              <v:textbox inset="0mm,0mm,0mm,0mm">
                <w:txbxContent>
                  <w:p>
                    <w:pPr>
                      <w:pStyle w:val="4"/>
                      <w:spacing w:line="359" w:lineRule="exact"/>
                      <w:ind w:left="20"/>
                    </w:pPr>
                    <w:r>
                      <w:rPr>
                        <w:spacing w:val="-35"/>
                      </w:rPr>
                      <w:t>—</w:t>
                    </w:r>
                    <w:r>
                      <w:rPr>
                        <w:spacing w:val="-13"/>
                      </w:rPr>
                      <w:t>2—</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sz w:val="20"/>
      </w:rPr>
      <mc:AlternateContent>
        <mc:Choice Requires="wps">
          <w:drawing>
            <wp:anchor distT="0" distB="0" distL="0" distR="0" simplePos="0" relativeHeight="251661312" behindDoc="1" locked="0" layoutInCell="1" allowOverlap="1">
              <wp:simplePos x="0" y="0"/>
              <wp:positionH relativeFrom="page">
                <wp:posOffset>959485</wp:posOffset>
              </wp:positionH>
              <wp:positionV relativeFrom="page">
                <wp:posOffset>10003155</wp:posOffset>
              </wp:positionV>
              <wp:extent cx="488315" cy="227965"/>
              <wp:effectExtent l="0" t="0" r="0" b="0"/>
              <wp:wrapNone/>
              <wp:docPr id="12" name="Textbox 12"/>
              <wp:cNvGraphicFramePr/>
              <a:graphic xmlns:a="http://schemas.openxmlformats.org/drawingml/2006/main">
                <a:graphicData uri="http://schemas.microsoft.com/office/word/2010/wordprocessingShape">
                  <wps:wsp>
                    <wps:cNvSpPr txBox="true"/>
                    <wps:spPr>
                      <a:xfrm>
                        <a:off x="0" y="0"/>
                        <a:ext cx="488315" cy="227965"/>
                      </a:xfrm>
                      <a:prstGeom prst="rect">
                        <a:avLst/>
                      </a:prstGeom>
                    </wps:spPr>
                    <wps:txbx>
                      <w:txbxContent>
                        <w:p>
                          <w:pPr>
                            <w:pStyle w:val="4"/>
                            <w:spacing w:line="359" w:lineRule="exact"/>
                            <w:ind w:left="20"/>
                          </w:pPr>
                          <w:r>
                            <w:rPr>
                              <w:spacing w:val="-35"/>
                            </w:rPr>
                            <w:t>—</w:t>
                          </w:r>
                          <w:r>
                            <w:rPr>
                              <w:spacing w:val="-13"/>
                            </w:rPr>
                            <w:t>2—</w:t>
                          </w:r>
                        </w:p>
                      </w:txbxContent>
                    </wps:txbx>
                    <wps:bodyPr wrap="square" lIns="0" tIns="0" rIns="0" bIns="0" rtlCol="0">
                      <a:noAutofit/>
                    </wps:bodyPr>
                  </wps:wsp>
                </a:graphicData>
              </a:graphic>
            </wp:anchor>
          </w:drawing>
        </mc:Choice>
        <mc:Fallback>
          <w:pict>
            <v:shape id="Textbox 12" o:spid="_x0000_s1026" o:spt="202" type="#_x0000_t202" style="position:absolute;left:0pt;margin-left:75.55pt;margin-top:787.65pt;height:17.95pt;width:38.45pt;mso-position-horizontal-relative:page;mso-position-vertical-relative:page;z-index:-251655168;mso-width-relative:page;mso-height-relative:page;" filled="f" stroked="f" coordsize="21600,21600" o:gfxdata="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M5FimdoAAAANAQAADwAAAAAAAAABACAAAAA4AAAAZHJzL2Rvd25yZXYueG1sUEsBAhQAFAAAAAgA&#10;h07iQI4G74ObAQAAKgMAAA4AAAAAAAAAAQAgAAAAPwEAAGRycy9lMm9Eb2MueG1sUEsFBgAAAAAG&#10;AAYAWQEAAEwFAAAAAA==&#10;">
              <v:fill on="f" focussize="0,0"/>
              <v:stroke on="f"/>
              <v:imagedata o:title=""/>
              <o:lock v:ext="edit" aspectratio="f"/>
              <v:textbox inset="0mm,0mm,0mm,0mm">
                <w:txbxContent>
                  <w:p>
                    <w:pPr>
                      <w:pStyle w:val="4"/>
                      <w:spacing w:line="359" w:lineRule="exact"/>
                      <w:ind w:left="20"/>
                    </w:pPr>
                    <w:r>
                      <w:rPr>
                        <w:spacing w:val="-35"/>
                      </w:rPr>
                      <w:t>—</w:t>
                    </w:r>
                    <w:r>
                      <w:rPr>
                        <w:spacing w:val="-13"/>
                      </w:rPr>
                      <w:t>2—</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rPr>
        <w:sz w:val="20"/>
      </w:rPr>
      <mc:AlternateContent>
        <mc:Choice Requires="wps">
          <w:drawing>
            <wp:anchor distT="0" distB="0" distL="0" distR="0" simplePos="0" relativeHeight="251662336" behindDoc="1" locked="0" layoutInCell="1" allowOverlap="1">
              <wp:simplePos x="0" y="0"/>
              <wp:positionH relativeFrom="page">
                <wp:posOffset>959485</wp:posOffset>
              </wp:positionH>
              <wp:positionV relativeFrom="page">
                <wp:posOffset>10003155</wp:posOffset>
              </wp:positionV>
              <wp:extent cx="488315" cy="227965"/>
              <wp:effectExtent l="0" t="0" r="0" b="0"/>
              <wp:wrapNone/>
              <wp:docPr id="13" name="Textbox 13"/>
              <wp:cNvGraphicFramePr/>
              <a:graphic xmlns:a="http://schemas.openxmlformats.org/drawingml/2006/main">
                <a:graphicData uri="http://schemas.microsoft.com/office/word/2010/wordprocessingShape">
                  <wps:wsp>
                    <wps:cNvSpPr txBox="true"/>
                    <wps:spPr>
                      <a:xfrm>
                        <a:off x="0" y="0"/>
                        <a:ext cx="488315" cy="227965"/>
                      </a:xfrm>
                      <a:prstGeom prst="rect">
                        <a:avLst/>
                      </a:prstGeom>
                    </wps:spPr>
                    <wps:txbx>
                      <w:txbxContent>
                        <w:p>
                          <w:pPr>
                            <w:pStyle w:val="4"/>
                            <w:spacing w:line="359" w:lineRule="exact"/>
                            <w:ind w:left="20"/>
                          </w:pPr>
                          <w:r>
                            <w:rPr>
                              <w:spacing w:val="-35"/>
                            </w:rPr>
                            <w:t>—</w:t>
                          </w:r>
                          <w:r>
                            <w:rPr>
                              <w:spacing w:val="-13"/>
                            </w:rPr>
                            <w:t>2—</w:t>
                          </w:r>
                        </w:p>
                      </w:txbxContent>
                    </wps:txbx>
                    <wps:bodyPr wrap="square" lIns="0" tIns="0" rIns="0" bIns="0" rtlCol="0">
                      <a:noAutofit/>
                    </wps:bodyPr>
                  </wps:wsp>
                </a:graphicData>
              </a:graphic>
            </wp:anchor>
          </w:drawing>
        </mc:Choice>
        <mc:Fallback>
          <w:pict>
            <v:shape id="Textbox 13" o:spid="_x0000_s1026" o:spt="202" type="#_x0000_t202" style="position:absolute;left:0pt;margin-left:75.55pt;margin-top:787.65pt;height:17.95pt;width:38.45pt;mso-position-horizontal-relative:page;mso-position-vertical-relative:page;z-index:-251654144;mso-width-relative:page;mso-height-relative:page;" filled="f" stroked="f" coordsize="21600,21600" o:gfxdata="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Az&#10;kWKZ2gAAAA0BAAAPAAAAAAAAAAEAIAAAADgAAABkcnMvZG93bnJldi54bWxQSwECFAAUAAAACACH&#10;TuJAy7kOIJoBAAAqAwAADgAAAAAAAAABACAAAAA/AQAAZHJzL2Uyb0RvYy54bWxQSwUGAAAAAAYA&#10;BgBZAQAASwUAAAAA&#10;">
              <v:fill on="f" focussize="0,0"/>
              <v:stroke on="f"/>
              <v:imagedata o:title=""/>
              <o:lock v:ext="edit" aspectratio="f"/>
              <v:textbox inset="0mm,0mm,0mm,0mm">
                <w:txbxContent>
                  <w:p>
                    <w:pPr>
                      <w:pStyle w:val="4"/>
                      <w:spacing w:line="359" w:lineRule="exact"/>
                      <w:ind w:left="20"/>
                    </w:pPr>
                    <w:r>
                      <w:rPr>
                        <w:spacing w:val="-35"/>
                      </w:rPr>
                      <w:t>—</w:t>
                    </w:r>
                    <w:r>
                      <w:rPr>
                        <w:spacing w:val="-13"/>
                      </w:rPr>
                      <w:t>2—</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14" w:hanging="804"/>
        <w:jc w:val="left"/>
      </w:pPr>
      <w:rPr>
        <w:rFonts w:hint="default" w:ascii="宋体" w:hAnsi="宋体" w:eastAsia="宋体" w:cs="宋体"/>
        <w:b w:val="0"/>
        <w:bCs w:val="0"/>
        <w:i w:val="0"/>
        <w:iCs w:val="0"/>
        <w:spacing w:val="0"/>
        <w:w w:val="99"/>
        <w:sz w:val="30"/>
        <w:szCs w:val="30"/>
        <w:lang w:val="en-US" w:eastAsia="zh-CN" w:bidi="ar-SA"/>
      </w:rPr>
    </w:lvl>
    <w:lvl w:ilvl="1" w:tentative="0">
      <w:start w:val="0"/>
      <w:numFmt w:val="bullet"/>
      <w:lvlText w:val="•"/>
      <w:lvlJc w:val="left"/>
      <w:pPr>
        <w:ind w:left="1029" w:hanging="804"/>
      </w:pPr>
      <w:rPr>
        <w:rFonts w:hint="default"/>
        <w:lang w:val="en-US" w:eastAsia="zh-CN" w:bidi="ar-SA"/>
      </w:rPr>
    </w:lvl>
    <w:lvl w:ilvl="2" w:tentative="0">
      <w:start w:val="0"/>
      <w:numFmt w:val="bullet"/>
      <w:lvlText w:val="•"/>
      <w:lvlJc w:val="left"/>
      <w:pPr>
        <w:ind w:left="1938" w:hanging="804"/>
      </w:pPr>
      <w:rPr>
        <w:rFonts w:hint="default"/>
        <w:lang w:val="en-US" w:eastAsia="zh-CN" w:bidi="ar-SA"/>
      </w:rPr>
    </w:lvl>
    <w:lvl w:ilvl="3" w:tentative="0">
      <w:start w:val="0"/>
      <w:numFmt w:val="bullet"/>
      <w:lvlText w:val="•"/>
      <w:lvlJc w:val="left"/>
      <w:pPr>
        <w:ind w:left="2848" w:hanging="804"/>
      </w:pPr>
      <w:rPr>
        <w:rFonts w:hint="default"/>
        <w:lang w:val="en-US" w:eastAsia="zh-CN" w:bidi="ar-SA"/>
      </w:rPr>
    </w:lvl>
    <w:lvl w:ilvl="4" w:tentative="0">
      <w:start w:val="0"/>
      <w:numFmt w:val="bullet"/>
      <w:lvlText w:val="•"/>
      <w:lvlJc w:val="left"/>
      <w:pPr>
        <w:ind w:left="3757" w:hanging="804"/>
      </w:pPr>
      <w:rPr>
        <w:rFonts w:hint="default"/>
        <w:lang w:val="en-US" w:eastAsia="zh-CN" w:bidi="ar-SA"/>
      </w:rPr>
    </w:lvl>
    <w:lvl w:ilvl="5" w:tentative="0">
      <w:start w:val="0"/>
      <w:numFmt w:val="bullet"/>
      <w:lvlText w:val="•"/>
      <w:lvlJc w:val="left"/>
      <w:pPr>
        <w:ind w:left="4667" w:hanging="804"/>
      </w:pPr>
      <w:rPr>
        <w:rFonts w:hint="default"/>
        <w:lang w:val="en-US" w:eastAsia="zh-CN" w:bidi="ar-SA"/>
      </w:rPr>
    </w:lvl>
    <w:lvl w:ilvl="6" w:tentative="0">
      <w:start w:val="0"/>
      <w:numFmt w:val="bullet"/>
      <w:lvlText w:val="•"/>
      <w:lvlJc w:val="left"/>
      <w:pPr>
        <w:ind w:left="5576" w:hanging="804"/>
      </w:pPr>
      <w:rPr>
        <w:rFonts w:hint="default"/>
        <w:lang w:val="en-US" w:eastAsia="zh-CN" w:bidi="ar-SA"/>
      </w:rPr>
    </w:lvl>
    <w:lvl w:ilvl="7" w:tentative="0">
      <w:start w:val="0"/>
      <w:numFmt w:val="bullet"/>
      <w:lvlText w:val="•"/>
      <w:lvlJc w:val="left"/>
      <w:pPr>
        <w:ind w:left="6485" w:hanging="804"/>
      </w:pPr>
      <w:rPr>
        <w:rFonts w:hint="default"/>
        <w:lang w:val="en-US" w:eastAsia="zh-CN" w:bidi="ar-SA"/>
      </w:rPr>
    </w:lvl>
    <w:lvl w:ilvl="8" w:tentative="0">
      <w:start w:val="0"/>
      <w:numFmt w:val="bullet"/>
      <w:lvlText w:val="•"/>
      <w:lvlJc w:val="left"/>
      <w:pPr>
        <w:ind w:left="7395" w:hanging="804"/>
      </w:pPr>
      <w:rPr>
        <w:rFonts w:hint="default"/>
        <w:lang w:val="en-US" w:eastAsia="zh-CN" w:bidi="ar-SA"/>
      </w:rPr>
    </w:lvl>
  </w:abstractNum>
  <w:abstractNum w:abstractNumId="1">
    <w:nsid w:val="B5E306ED"/>
    <w:multiLevelType w:val="multilevel"/>
    <w:tmpl w:val="B5E306ED"/>
    <w:lvl w:ilvl="0" w:tentative="0">
      <w:start w:val="1"/>
      <w:numFmt w:val="decimal"/>
      <w:lvlText w:val="%1."/>
      <w:lvlJc w:val="left"/>
      <w:pPr>
        <w:ind w:left="1076" w:hanging="322"/>
        <w:jc w:val="left"/>
      </w:pPr>
      <w:rPr>
        <w:rFonts w:hint="default" w:ascii="宋体" w:hAnsi="宋体" w:eastAsia="宋体" w:cs="宋体"/>
        <w:b/>
        <w:bCs/>
        <w:i w:val="0"/>
        <w:iCs w:val="0"/>
        <w:spacing w:val="1"/>
        <w:w w:val="97"/>
        <w:sz w:val="30"/>
        <w:szCs w:val="30"/>
        <w:lang w:val="en-US" w:eastAsia="zh-CN" w:bidi="ar-SA"/>
      </w:rPr>
    </w:lvl>
    <w:lvl w:ilvl="1" w:tentative="0">
      <w:start w:val="0"/>
      <w:numFmt w:val="bullet"/>
      <w:lvlText w:val="•"/>
      <w:lvlJc w:val="left"/>
      <w:pPr>
        <w:ind w:left="1893" w:hanging="322"/>
      </w:pPr>
      <w:rPr>
        <w:rFonts w:hint="default"/>
        <w:lang w:val="en-US" w:eastAsia="zh-CN" w:bidi="ar-SA"/>
      </w:rPr>
    </w:lvl>
    <w:lvl w:ilvl="2" w:tentative="0">
      <w:start w:val="0"/>
      <w:numFmt w:val="bullet"/>
      <w:lvlText w:val="•"/>
      <w:lvlJc w:val="left"/>
      <w:pPr>
        <w:ind w:left="2706" w:hanging="322"/>
      </w:pPr>
      <w:rPr>
        <w:rFonts w:hint="default"/>
        <w:lang w:val="en-US" w:eastAsia="zh-CN" w:bidi="ar-SA"/>
      </w:rPr>
    </w:lvl>
    <w:lvl w:ilvl="3" w:tentative="0">
      <w:start w:val="0"/>
      <w:numFmt w:val="bullet"/>
      <w:lvlText w:val="•"/>
      <w:lvlJc w:val="left"/>
      <w:pPr>
        <w:ind w:left="3520" w:hanging="322"/>
      </w:pPr>
      <w:rPr>
        <w:rFonts w:hint="default"/>
        <w:lang w:val="en-US" w:eastAsia="zh-CN" w:bidi="ar-SA"/>
      </w:rPr>
    </w:lvl>
    <w:lvl w:ilvl="4" w:tentative="0">
      <w:start w:val="0"/>
      <w:numFmt w:val="bullet"/>
      <w:lvlText w:val="•"/>
      <w:lvlJc w:val="left"/>
      <w:pPr>
        <w:ind w:left="4333" w:hanging="322"/>
      </w:pPr>
      <w:rPr>
        <w:rFonts w:hint="default"/>
        <w:lang w:val="en-US" w:eastAsia="zh-CN" w:bidi="ar-SA"/>
      </w:rPr>
    </w:lvl>
    <w:lvl w:ilvl="5" w:tentative="0">
      <w:start w:val="0"/>
      <w:numFmt w:val="bullet"/>
      <w:lvlText w:val="•"/>
      <w:lvlJc w:val="left"/>
      <w:pPr>
        <w:ind w:left="5147" w:hanging="322"/>
      </w:pPr>
      <w:rPr>
        <w:rFonts w:hint="default"/>
        <w:lang w:val="en-US" w:eastAsia="zh-CN" w:bidi="ar-SA"/>
      </w:rPr>
    </w:lvl>
    <w:lvl w:ilvl="6" w:tentative="0">
      <w:start w:val="0"/>
      <w:numFmt w:val="bullet"/>
      <w:lvlText w:val="•"/>
      <w:lvlJc w:val="left"/>
      <w:pPr>
        <w:ind w:left="5960" w:hanging="322"/>
      </w:pPr>
      <w:rPr>
        <w:rFonts w:hint="default"/>
        <w:lang w:val="en-US" w:eastAsia="zh-CN" w:bidi="ar-SA"/>
      </w:rPr>
    </w:lvl>
    <w:lvl w:ilvl="7" w:tentative="0">
      <w:start w:val="0"/>
      <w:numFmt w:val="bullet"/>
      <w:lvlText w:val="•"/>
      <w:lvlJc w:val="left"/>
      <w:pPr>
        <w:ind w:left="6773" w:hanging="322"/>
      </w:pPr>
      <w:rPr>
        <w:rFonts w:hint="default"/>
        <w:lang w:val="en-US" w:eastAsia="zh-CN" w:bidi="ar-SA"/>
      </w:rPr>
    </w:lvl>
    <w:lvl w:ilvl="8" w:tentative="0">
      <w:start w:val="0"/>
      <w:numFmt w:val="bullet"/>
      <w:lvlText w:val="•"/>
      <w:lvlJc w:val="left"/>
      <w:pPr>
        <w:ind w:left="7587" w:hanging="322"/>
      </w:pPr>
      <w:rPr>
        <w:rFonts w:hint="default"/>
        <w:lang w:val="en-US" w:eastAsia="zh-CN" w:bidi="ar-SA"/>
      </w:rPr>
    </w:lvl>
  </w:abstractNum>
  <w:abstractNum w:abstractNumId="2">
    <w:nsid w:val="BF205925"/>
    <w:multiLevelType w:val="multilevel"/>
    <w:tmpl w:val="BF205925"/>
    <w:lvl w:ilvl="0" w:tentative="0">
      <w:start w:val="1"/>
      <w:numFmt w:val="decimal"/>
      <w:lvlText w:val="%1."/>
      <w:lvlJc w:val="left"/>
      <w:pPr>
        <w:ind w:left="1083" w:hanging="329"/>
        <w:jc w:val="left"/>
      </w:pPr>
      <w:rPr>
        <w:rFonts w:hint="default" w:ascii="宋体" w:hAnsi="宋体" w:eastAsia="宋体" w:cs="宋体"/>
        <w:b/>
        <w:bCs/>
        <w:i w:val="0"/>
        <w:iCs w:val="0"/>
        <w:spacing w:val="1"/>
        <w:w w:val="81"/>
        <w:sz w:val="30"/>
        <w:szCs w:val="30"/>
        <w:lang w:val="en-US" w:eastAsia="zh-CN" w:bidi="ar-SA"/>
      </w:rPr>
    </w:lvl>
    <w:lvl w:ilvl="1" w:tentative="0">
      <w:start w:val="0"/>
      <w:numFmt w:val="bullet"/>
      <w:lvlText w:val="•"/>
      <w:lvlJc w:val="left"/>
      <w:pPr>
        <w:ind w:left="1893" w:hanging="329"/>
      </w:pPr>
      <w:rPr>
        <w:rFonts w:hint="default"/>
        <w:lang w:val="en-US" w:eastAsia="zh-CN" w:bidi="ar-SA"/>
      </w:rPr>
    </w:lvl>
    <w:lvl w:ilvl="2" w:tentative="0">
      <w:start w:val="0"/>
      <w:numFmt w:val="bullet"/>
      <w:lvlText w:val="•"/>
      <w:lvlJc w:val="left"/>
      <w:pPr>
        <w:ind w:left="2706" w:hanging="329"/>
      </w:pPr>
      <w:rPr>
        <w:rFonts w:hint="default"/>
        <w:lang w:val="en-US" w:eastAsia="zh-CN" w:bidi="ar-SA"/>
      </w:rPr>
    </w:lvl>
    <w:lvl w:ilvl="3" w:tentative="0">
      <w:start w:val="0"/>
      <w:numFmt w:val="bullet"/>
      <w:lvlText w:val="•"/>
      <w:lvlJc w:val="left"/>
      <w:pPr>
        <w:ind w:left="3520" w:hanging="329"/>
      </w:pPr>
      <w:rPr>
        <w:rFonts w:hint="default"/>
        <w:lang w:val="en-US" w:eastAsia="zh-CN" w:bidi="ar-SA"/>
      </w:rPr>
    </w:lvl>
    <w:lvl w:ilvl="4" w:tentative="0">
      <w:start w:val="0"/>
      <w:numFmt w:val="bullet"/>
      <w:lvlText w:val="•"/>
      <w:lvlJc w:val="left"/>
      <w:pPr>
        <w:ind w:left="4333" w:hanging="329"/>
      </w:pPr>
      <w:rPr>
        <w:rFonts w:hint="default"/>
        <w:lang w:val="en-US" w:eastAsia="zh-CN" w:bidi="ar-SA"/>
      </w:rPr>
    </w:lvl>
    <w:lvl w:ilvl="5" w:tentative="0">
      <w:start w:val="0"/>
      <w:numFmt w:val="bullet"/>
      <w:lvlText w:val="•"/>
      <w:lvlJc w:val="left"/>
      <w:pPr>
        <w:ind w:left="5147" w:hanging="329"/>
      </w:pPr>
      <w:rPr>
        <w:rFonts w:hint="default"/>
        <w:lang w:val="en-US" w:eastAsia="zh-CN" w:bidi="ar-SA"/>
      </w:rPr>
    </w:lvl>
    <w:lvl w:ilvl="6" w:tentative="0">
      <w:start w:val="0"/>
      <w:numFmt w:val="bullet"/>
      <w:lvlText w:val="•"/>
      <w:lvlJc w:val="left"/>
      <w:pPr>
        <w:ind w:left="5960" w:hanging="329"/>
      </w:pPr>
      <w:rPr>
        <w:rFonts w:hint="default"/>
        <w:lang w:val="en-US" w:eastAsia="zh-CN" w:bidi="ar-SA"/>
      </w:rPr>
    </w:lvl>
    <w:lvl w:ilvl="7" w:tentative="0">
      <w:start w:val="0"/>
      <w:numFmt w:val="bullet"/>
      <w:lvlText w:val="•"/>
      <w:lvlJc w:val="left"/>
      <w:pPr>
        <w:ind w:left="6773" w:hanging="329"/>
      </w:pPr>
      <w:rPr>
        <w:rFonts w:hint="default"/>
        <w:lang w:val="en-US" w:eastAsia="zh-CN" w:bidi="ar-SA"/>
      </w:rPr>
    </w:lvl>
    <w:lvl w:ilvl="8" w:tentative="0">
      <w:start w:val="0"/>
      <w:numFmt w:val="bullet"/>
      <w:lvlText w:val="•"/>
      <w:lvlJc w:val="left"/>
      <w:pPr>
        <w:ind w:left="7587" w:hanging="329"/>
      </w:pPr>
      <w:rPr>
        <w:rFonts w:hint="default"/>
        <w:lang w:val="en-US" w:eastAsia="zh-CN" w:bidi="ar-SA"/>
      </w:rPr>
    </w:lvl>
  </w:abstractNum>
  <w:abstractNum w:abstractNumId="3">
    <w:nsid w:val="C8879AEF"/>
    <w:multiLevelType w:val="multilevel"/>
    <w:tmpl w:val="C8879AEF"/>
    <w:lvl w:ilvl="0" w:tentative="0">
      <w:start w:val="1"/>
      <w:numFmt w:val="decimal"/>
      <w:lvlText w:val="%1."/>
      <w:lvlJc w:val="left"/>
      <w:pPr>
        <w:ind w:left="114"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1029" w:hanging="322"/>
      </w:pPr>
      <w:rPr>
        <w:rFonts w:hint="default"/>
        <w:lang w:val="en-US" w:eastAsia="zh-CN" w:bidi="ar-SA"/>
      </w:rPr>
    </w:lvl>
    <w:lvl w:ilvl="2" w:tentative="0">
      <w:start w:val="0"/>
      <w:numFmt w:val="bullet"/>
      <w:lvlText w:val="•"/>
      <w:lvlJc w:val="left"/>
      <w:pPr>
        <w:ind w:left="1938" w:hanging="322"/>
      </w:pPr>
      <w:rPr>
        <w:rFonts w:hint="default"/>
        <w:lang w:val="en-US" w:eastAsia="zh-CN" w:bidi="ar-SA"/>
      </w:rPr>
    </w:lvl>
    <w:lvl w:ilvl="3" w:tentative="0">
      <w:start w:val="0"/>
      <w:numFmt w:val="bullet"/>
      <w:lvlText w:val="•"/>
      <w:lvlJc w:val="left"/>
      <w:pPr>
        <w:ind w:left="2847" w:hanging="322"/>
      </w:pPr>
      <w:rPr>
        <w:rFonts w:hint="default"/>
        <w:lang w:val="en-US" w:eastAsia="zh-CN" w:bidi="ar-SA"/>
      </w:rPr>
    </w:lvl>
    <w:lvl w:ilvl="4" w:tentative="0">
      <w:start w:val="0"/>
      <w:numFmt w:val="bullet"/>
      <w:lvlText w:val="•"/>
      <w:lvlJc w:val="left"/>
      <w:pPr>
        <w:ind w:left="3757" w:hanging="322"/>
      </w:pPr>
      <w:rPr>
        <w:rFonts w:hint="default"/>
        <w:lang w:val="en-US" w:eastAsia="zh-CN" w:bidi="ar-SA"/>
      </w:rPr>
    </w:lvl>
    <w:lvl w:ilvl="5" w:tentative="0">
      <w:start w:val="0"/>
      <w:numFmt w:val="bullet"/>
      <w:lvlText w:val="•"/>
      <w:lvlJc w:val="left"/>
      <w:pPr>
        <w:ind w:left="4666" w:hanging="322"/>
      </w:pPr>
      <w:rPr>
        <w:rFonts w:hint="default"/>
        <w:lang w:val="en-US" w:eastAsia="zh-CN" w:bidi="ar-SA"/>
      </w:rPr>
    </w:lvl>
    <w:lvl w:ilvl="6" w:tentative="0">
      <w:start w:val="0"/>
      <w:numFmt w:val="bullet"/>
      <w:lvlText w:val="•"/>
      <w:lvlJc w:val="left"/>
      <w:pPr>
        <w:ind w:left="5575" w:hanging="322"/>
      </w:pPr>
      <w:rPr>
        <w:rFonts w:hint="default"/>
        <w:lang w:val="en-US" w:eastAsia="zh-CN" w:bidi="ar-SA"/>
      </w:rPr>
    </w:lvl>
    <w:lvl w:ilvl="7" w:tentative="0">
      <w:start w:val="0"/>
      <w:numFmt w:val="bullet"/>
      <w:lvlText w:val="•"/>
      <w:lvlJc w:val="left"/>
      <w:pPr>
        <w:ind w:left="6485" w:hanging="322"/>
      </w:pPr>
      <w:rPr>
        <w:rFonts w:hint="default"/>
        <w:lang w:val="en-US" w:eastAsia="zh-CN" w:bidi="ar-SA"/>
      </w:rPr>
    </w:lvl>
    <w:lvl w:ilvl="8" w:tentative="0">
      <w:start w:val="0"/>
      <w:numFmt w:val="bullet"/>
      <w:lvlText w:val="•"/>
      <w:lvlJc w:val="left"/>
      <w:pPr>
        <w:ind w:left="7394" w:hanging="322"/>
      </w:pPr>
      <w:rPr>
        <w:rFonts w:hint="default"/>
        <w:lang w:val="en-US" w:eastAsia="zh-CN" w:bidi="ar-SA"/>
      </w:rPr>
    </w:lvl>
  </w:abstractNum>
  <w:abstractNum w:abstractNumId="4">
    <w:nsid w:val="CF092B84"/>
    <w:multiLevelType w:val="multilevel"/>
    <w:tmpl w:val="CF092B84"/>
    <w:lvl w:ilvl="0" w:tentative="0">
      <w:start w:val="1"/>
      <w:numFmt w:val="decimal"/>
      <w:lvlText w:val="（%1）"/>
      <w:lvlJc w:val="left"/>
      <w:pPr>
        <w:ind w:left="114" w:hanging="804"/>
        <w:jc w:val="left"/>
      </w:pPr>
      <w:rPr>
        <w:rFonts w:hint="default" w:ascii="宋体" w:hAnsi="宋体" w:eastAsia="宋体" w:cs="宋体"/>
        <w:b w:val="0"/>
        <w:bCs w:val="0"/>
        <w:i w:val="0"/>
        <w:iCs w:val="0"/>
        <w:spacing w:val="0"/>
        <w:w w:val="99"/>
        <w:sz w:val="30"/>
        <w:szCs w:val="30"/>
        <w:lang w:val="en-US" w:eastAsia="zh-CN" w:bidi="ar-SA"/>
      </w:rPr>
    </w:lvl>
    <w:lvl w:ilvl="1" w:tentative="0">
      <w:start w:val="0"/>
      <w:numFmt w:val="bullet"/>
      <w:lvlText w:val="•"/>
      <w:lvlJc w:val="left"/>
      <w:pPr>
        <w:ind w:left="1029" w:hanging="804"/>
      </w:pPr>
      <w:rPr>
        <w:rFonts w:hint="default"/>
        <w:lang w:val="en-US" w:eastAsia="zh-CN" w:bidi="ar-SA"/>
      </w:rPr>
    </w:lvl>
    <w:lvl w:ilvl="2" w:tentative="0">
      <w:start w:val="0"/>
      <w:numFmt w:val="bullet"/>
      <w:lvlText w:val="•"/>
      <w:lvlJc w:val="left"/>
      <w:pPr>
        <w:ind w:left="1938" w:hanging="804"/>
      </w:pPr>
      <w:rPr>
        <w:rFonts w:hint="default"/>
        <w:lang w:val="en-US" w:eastAsia="zh-CN" w:bidi="ar-SA"/>
      </w:rPr>
    </w:lvl>
    <w:lvl w:ilvl="3" w:tentative="0">
      <w:start w:val="0"/>
      <w:numFmt w:val="bullet"/>
      <w:lvlText w:val="•"/>
      <w:lvlJc w:val="left"/>
      <w:pPr>
        <w:ind w:left="2848" w:hanging="804"/>
      </w:pPr>
      <w:rPr>
        <w:rFonts w:hint="default"/>
        <w:lang w:val="en-US" w:eastAsia="zh-CN" w:bidi="ar-SA"/>
      </w:rPr>
    </w:lvl>
    <w:lvl w:ilvl="4" w:tentative="0">
      <w:start w:val="0"/>
      <w:numFmt w:val="bullet"/>
      <w:lvlText w:val="•"/>
      <w:lvlJc w:val="left"/>
      <w:pPr>
        <w:ind w:left="3757" w:hanging="804"/>
      </w:pPr>
      <w:rPr>
        <w:rFonts w:hint="default"/>
        <w:lang w:val="en-US" w:eastAsia="zh-CN" w:bidi="ar-SA"/>
      </w:rPr>
    </w:lvl>
    <w:lvl w:ilvl="5" w:tentative="0">
      <w:start w:val="0"/>
      <w:numFmt w:val="bullet"/>
      <w:lvlText w:val="•"/>
      <w:lvlJc w:val="left"/>
      <w:pPr>
        <w:ind w:left="4667" w:hanging="804"/>
      </w:pPr>
      <w:rPr>
        <w:rFonts w:hint="default"/>
        <w:lang w:val="en-US" w:eastAsia="zh-CN" w:bidi="ar-SA"/>
      </w:rPr>
    </w:lvl>
    <w:lvl w:ilvl="6" w:tentative="0">
      <w:start w:val="0"/>
      <w:numFmt w:val="bullet"/>
      <w:lvlText w:val="•"/>
      <w:lvlJc w:val="left"/>
      <w:pPr>
        <w:ind w:left="5576" w:hanging="804"/>
      </w:pPr>
      <w:rPr>
        <w:rFonts w:hint="default"/>
        <w:lang w:val="en-US" w:eastAsia="zh-CN" w:bidi="ar-SA"/>
      </w:rPr>
    </w:lvl>
    <w:lvl w:ilvl="7" w:tentative="0">
      <w:start w:val="0"/>
      <w:numFmt w:val="bullet"/>
      <w:lvlText w:val="•"/>
      <w:lvlJc w:val="left"/>
      <w:pPr>
        <w:ind w:left="6485" w:hanging="804"/>
      </w:pPr>
      <w:rPr>
        <w:rFonts w:hint="default"/>
        <w:lang w:val="en-US" w:eastAsia="zh-CN" w:bidi="ar-SA"/>
      </w:rPr>
    </w:lvl>
    <w:lvl w:ilvl="8" w:tentative="0">
      <w:start w:val="0"/>
      <w:numFmt w:val="bullet"/>
      <w:lvlText w:val="•"/>
      <w:lvlJc w:val="left"/>
      <w:pPr>
        <w:ind w:left="7395" w:hanging="804"/>
      </w:pPr>
      <w:rPr>
        <w:rFonts w:hint="default"/>
        <w:lang w:val="en-US" w:eastAsia="zh-CN" w:bidi="ar-SA"/>
      </w:rPr>
    </w:lvl>
  </w:abstractNum>
  <w:abstractNum w:abstractNumId="5">
    <w:nsid w:val="0053208E"/>
    <w:multiLevelType w:val="multilevel"/>
    <w:tmpl w:val="0053208E"/>
    <w:lvl w:ilvl="0" w:tentative="0">
      <w:start w:val="1"/>
      <w:numFmt w:val="decimal"/>
      <w:lvlText w:val="%1."/>
      <w:lvlJc w:val="left"/>
      <w:pPr>
        <w:ind w:left="114"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1029" w:hanging="322"/>
      </w:pPr>
      <w:rPr>
        <w:rFonts w:hint="default"/>
        <w:lang w:val="en-US" w:eastAsia="zh-CN" w:bidi="ar-SA"/>
      </w:rPr>
    </w:lvl>
    <w:lvl w:ilvl="2" w:tentative="0">
      <w:start w:val="0"/>
      <w:numFmt w:val="bullet"/>
      <w:lvlText w:val="•"/>
      <w:lvlJc w:val="left"/>
      <w:pPr>
        <w:ind w:left="1938" w:hanging="322"/>
      </w:pPr>
      <w:rPr>
        <w:rFonts w:hint="default"/>
        <w:lang w:val="en-US" w:eastAsia="zh-CN" w:bidi="ar-SA"/>
      </w:rPr>
    </w:lvl>
    <w:lvl w:ilvl="3" w:tentative="0">
      <w:start w:val="0"/>
      <w:numFmt w:val="bullet"/>
      <w:lvlText w:val="•"/>
      <w:lvlJc w:val="left"/>
      <w:pPr>
        <w:ind w:left="2848" w:hanging="322"/>
      </w:pPr>
      <w:rPr>
        <w:rFonts w:hint="default"/>
        <w:lang w:val="en-US" w:eastAsia="zh-CN" w:bidi="ar-SA"/>
      </w:rPr>
    </w:lvl>
    <w:lvl w:ilvl="4" w:tentative="0">
      <w:start w:val="0"/>
      <w:numFmt w:val="bullet"/>
      <w:lvlText w:val="•"/>
      <w:lvlJc w:val="left"/>
      <w:pPr>
        <w:ind w:left="3757" w:hanging="322"/>
      </w:pPr>
      <w:rPr>
        <w:rFonts w:hint="default"/>
        <w:lang w:val="en-US" w:eastAsia="zh-CN" w:bidi="ar-SA"/>
      </w:rPr>
    </w:lvl>
    <w:lvl w:ilvl="5" w:tentative="0">
      <w:start w:val="0"/>
      <w:numFmt w:val="bullet"/>
      <w:lvlText w:val="•"/>
      <w:lvlJc w:val="left"/>
      <w:pPr>
        <w:ind w:left="4667" w:hanging="322"/>
      </w:pPr>
      <w:rPr>
        <w:rFonts w:hint="default"/>
        <w:lang w:val="en-US" w:eastAsia="zh-CN" w:bidi="ar-SA"/>
      </w:rPr>
    </w:lvl>
    <w:lvl w:ilvl="6" w:tentative="0">
      <w:start w:val="0"/>
      <w:numFmt w:val="bullet"/>
      <w:lvlText w:val="•"/>
      <w:lvlJc w:val="left"/>
      <w:pPr>
        <w:ind w:left="5576" w:hanging="322"/>
      </w:pPr>
      <w:rPr>
        <w:rFonts w:hint="default"/>
        <w:lang w:val="en-US" w:eastAsia="zh-CN" w:bidi="ar-SA"/>
      </w:rPr>
    </w:lvl>
    <w:lvl w:ilvl="7" w:tentative="0">
      <w:start w:val="0"/>
      <w:numFmt w:val="bullet"/>
      <w:lvlText w:val="•"/>
      <w:lvlJc w:val="left"/>
      <w:pPr>
        <w:ind w:left="6485" w:hanging="322"/>
      </w:pPr>
      <w:rPr>
        <w:rFonts w:hint="default"/>
        <w:lang w:val="en-US" w:eastAsia="zh-CN" w:bidi="ar-SA"/>
      </w:rPr>
    </w:lvl>
    <w:lvl w:ilvl="8" w:tentative="0">
      <w:start w:val="0"/>
      <w:numFmt w:val="bullet"/>
      <w:lvlText w:val="•"/>
      <w:lvlJc w:val="left"/>
      <w:pPr>
        <w:ind w:left="7395" w:hanging="322"/>
      </w:pPr>
      <w:rPr>
        <w:rFonts w:hint="default"/>
        <w:lang w:val="en-US" w:eastAsia="zh-CN" w:bidi="ar-SA"/>
      </w:rPr>
    </w:lvl>
  </w:abstractNum>
  <w:abstractNum w:abstractNumId="6">
    <w:nsid w:val="0248C179"/>
    <w:multiLevelType w:val="multilevel"/>
    <w:tmpl w:val="0248C179"/>
    <w:lvl w:ilvl="0" w:tentative="0">
      <w:start w:val="7"/>
      <w:numFmt w:val="decimal"/>
      <w:lvlText w:val="%1."/>
      <w:lvlJc w:val="left"/>
      <w:pPr>
        <w:ind w:left="114"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1029" w:hanging="322"/>
      </w:pPr>
      <w:rPr>
        <w:rFonts w:hint="default"/>
        <w:lang w:val="en-US" w:eastAsia="zh-CN" w:bidi="ar-SA"/>
      </w:rPr>
    </w:lvl>
    <w:lvl w:ilvl="2" w:tentative="0">
      <w:start w:val="0"/>
      <w:numFmt w:val="bullet"/>
      <w:lvlText w:val="•"/>
      <w:lvlJc w:val="left"/>
      <w:pPr>
        <w:ind w:left="1938" w:hanging="322"/>
      </w:pPr>
      <w:rPr>
        <w:rFonts w:hint="default"/>
        <w:lang w:val="en-US" w:eastAsia="zh-CN" w:bidi="ar-SA"/>
      </w:rPr>
    </w:lvl>
    <w:lvl w:ilvl="3" w:tentative="0">
      <w:start w:val="0"/>
      <w:numFmt w:val="bullet"/>
      <w:lvlText w:val="•"/>
      <w:lvlJc w:val="left"/>
      <w:pPr>
        <w:ind w:left="2848" w:hanging="322"/>
      </w:pPr>
      <w:rPr>
        <w:rFonts w:hint="default"/>
        <w:lang w:val="en-US" w:eastAsia="zh-CN" w:bidi="ar-SA"/>
      </w:rPr>
    </w:lvl>
    <w:lvl w:ilvl="4" w:tentative="0">
      <w:start w:val="0"/>
      <w:numFmt w:val="bullet"/>
      <w:lvlText w:val="•"/>
      <w:lvlJc w:val="left"/>
      <w:pPr>
        <w:ind w:left="3757" w:hanging="322"/>
      </w:pPr>
      <w:rPr>
        <w:rFonts w:hint="default"/>
        <w:lang w:val="en-US" w:eastAsia="zh-CN" w:bidi="ar-SA"/>
      </w:rPr>
    </w:lvl>
    <w:lvl w:ilvl="5" w:tentative="0">
      <w:start w:val="0"/>
      <w:numFmt w:val="bullet"/>
      <w:lvlText w:val="•"/>
      <w:lvlJc w:val="left"/>
      <w:pPr>
        <w:ind w:left="4667" w:hanging="322"/>
      </w:pPr>
      <w:rPr>
        <w:rFonts w:hint="default"/>
        <w:lang w:val="en-US" w:eastAsia="zh-CN" w:bidi="ar-SA"/>
      </w:rPr>
    </w:lvl>
    <w:lvl w:ilvl="6" w:tentative="0">
      <w:start w:val="0"/>
      <w:numFmt w:val="bullet"/>
      <w:lvlText w:val="•"/>
      <w:lvlJc w:val="left"/>
      <w:pPr>
        <w:ind w:left="5576" w:hanging="322"/>
      </w:pPr>
      <w:rPr>
        <w:rFonts w:hint="default"/>
        <w:lang w:val="en-US" w:eastAsia="zh-CN" w:bidi="ar-SA"/>
      </w:rPr>
    </w:lvl>
    <w:lvl w:ilvl="7" w:tentative="0">
      <w:start w:val="0"/>
      <w:numFmt w:val="bullet"/>
      <w:lvlText w:val="•"/>
      <w:lvlJc w:val="left"/>
      <w:pPr>
        <w:ind w:left="6485" w:hanging="322"/>
      </w:pPr>
      <w:rPr>
        <w:rFonts w:hint="default"/>
        <w:lang w:val="en-US" w:eastAsia="zh-CN" w:bidi="ar-SA"/>
      </w:rPr>
    </w:lvl>
    <w:lvl w:ilvl="8" w:tentative="0">
      <w:start w:val="0"/>
      <w:numFmt w:val="bullet"/>
      <w:lvlText w:val="•"/>
      <w:lvlJc w:val="left"/>
      <w:pPr>
        <w:ind w:left="7395" w:hanging="322"/>
      </w:pPr>
      <w:rPr>
        <w:rFonts w:hint="default"/>
        <w:lang w:val="en-US" w:eastAsia="zh-CN" w:bidi="ar-SA"/>
      </w:rPr>
    </w:lvl>
  </w:abstractNum>
  <w:abstractNum w:abstractNumId="7">
    <w:nsid w:val="03D62ECE"/>
    <w:multiLevelType w:val="multilevel"/>
    <w:tmpl w:val="03D62ECE"/>
    <w:lvl w:ilvl="0" w:tentative="0">
      <w:start w:val="1"/>
      <w:numFmt w:val="decimal"/>
      <w:lvlText w:val="%1."/>
      <w:lvlJc w:val="left"/>
      <w:pPr>
        <w:ind w:left="1076"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1893" w:hanging="322"/>
      </w:pPr>
      <w:rPr>
        <w:rFonts w:hint="default"/>
        <w:lang w:val="en-US" w:eastAsia="zh-CN" w:bidi="ar-SA"/>
      </w:rPr>
    </w:lvl>
    <w:lvl w:ilvl="2" w:tentative="0">
      <w:start w:val="0"/>
      <w:numFmt w:val="bullet"/>
      <w:lvlText w:val="•"/>
      <w:lvlJc w:val="left"/>
      <w:pPr>
        <w:ind w:left="2706" w:hanging="322"/>
      </w:pPr>
      <w:rPr>
        <w:rFonts w:hint="default"/>
        <w:lang w:val="en-US" w:eastAsia="zh-CN" w:bidi="ar-SA"/>
      </w:rPr>
    </w:lvl>
    <w:lvl w:ilvl="3" w:tentative="0">
      <w:start w:val="0"/>
      <w:numFmt w:val="bullet"/>
      <w:lvlText w:val="•"/>
      <w:lvlJc w:val="left"/>
      <w:pPr>
        <w:ind w:left="3520" w:hanging="322"/>
      </w:pPr>
      <w:rPr>
        <w:rFonts w:hint="default"/>
        <w:lang w:val="en-US" w:eastAsia="zh-CN" w:bidi="ar-SA"/>
      </w:rPr>
    </w:lvl>
    <w:lvl w:ilvl="4" w:tentative="0">
      <w:start w:val="0"/>
      <w:numFmt w:val="bullet"/>
      <w:lvlText w:val="•"/>
      <w:lvlJc w:val="left"/>
      <w:pPr>
        <w:ind w:left="4333" w:hanging="322"/>
      </w:pPr>
      <w:rPr>
        <w:rFonts w:hint="default"/>
        <w:lang w:val="en-US" w:eastAsia="zh-CN" w:bidi="ar-SA"/>
      </w:rPr>
    </w:lvl>
    <w:lvl w:ilvl="5" w:tentative="0">
      <w:start w:val="0"/>
      <w:numFmt w:val="bullet"/>
      <w:lvlText w:val="•"/>
      <w:lvlJc w:val="left"/>
      <w:pPr>
        <w:ind w:left="5147" w:hanging="322"/>
      </w:pPr>
      <w:rPr>
        <w:rFonts w:hint="default"/>
        <w:lang w:val="en-US" w:eastAsia="zh-CN" w:bidi="ar-SA"/>
      </w:rPr>
    </w:lvl>
    <w:lvl w:ilvl="6" w:tentative="0">
      <w:start w:val="0"/>
      <w:numFmt w:val="bullet"/>
      <w:lvlText w:val="•"/>
      <w:lvlJc w:val="left"/>
      <w:pPr>
        <w:ind w:left="5960" w:hanging="322"/>
      </w:pPr>
      <w:rPr>
        <w:rFonts w:hint="default"/>
        <w:lang w:val="en-US" w:eastAsia="zh-CN" w:bidi="ar-SA"/>
      </w:rPr>
    </w:lvl>
    <w:lvl w:ilvl="7" w:tentative="0">
      <w:start w:val="0"/>
      <w:numFmt w:val="bullet"/>
      <w:lvlText w:val="•"/>
      <w:lvlJc w:val="left"/>
      <w:pPr>
        <w:ind w:left="6773" w:hanging="322"/>
      </w:pPr>
      <w:rPr>
        <w:rFonts w:hint="default"/>
        <w:lang w:val="en-US" w:eastAsia="zh-CN" w:bidi="ar-SA"/>
      </w:rPr>
    </w:lvl>
    <w:lvl w:ilvl="8" w:tentative="0">
      <w:start w:val="0"/>
      <w:numFmt w:val="bullet"/>
      <w:lvlText w:val="•"/>
      <w:lvlJc w:val="left"/>
      <w:pPr>
        <w:ind w:left="7587" w:hanging="322"/>
      </w:pPr>
      <w:rPr>
        <w:rFonts w:hint="default"/>
        <w:lang w:val="en-US" w:eastAsia="zh-CN" w:bidi="ar-SA"/>
      </w:rPr>
    </w:lvl>
  </w:abstractNum>
  <w:abstractNum w:abstractNumId="8">
    <w:nsid w:val="25B654F3"/>
    <w:multiLevelType w:val="multilevel"/>
    <w:tmpl w:val="25B654F3"/>
    <w:lvl w:ilvl="0" w:tentative="0">
      <w:start w:val="9"/>
      <w:numFmt w:val="decimal"/>
      <w:lvlText w:val="%1."/>
      <w:lvlJc w:val="left"/>
      <w:pPr>
        <w:ind w:left="114" w:hanging="322"/>
        <w:jc w:val="left"/>
      </w:pPr>
      <w:rPr>
        <w:rFonts w:hint="default" w:ascii="宋体" w:hAnsi="宋体" w:eastAsia="宋体" w:cs="宋体"/>
        <w:b w:val="0"/>
        <w:bCs w:val="0"/>
        <w:i w:val="0"/>
        <w:iCs w:val="0"/>
        <w:spacing w:val="-2"/>
        <w:w w:val="95"/>
        <w:sz w:val="30"/>
        <w:szCs w:val="30"/>
        <w:lang w:val="en-US" w:eastAsia="zh-CN" w:bidi="ar-SA"/>
      </w:rPr>
    </w:lvl>
    <w:lvl w:ilvl="1" w:tentative="0">
      <w:start w:val="0"/>
      <w:numFmt w:val="bullet"/>
      <w:lvlText w:val="•"/>
      <w:lvlJc w:val="left"/>
      <w:pPr>
        <w:ind w:left="1029" w:hanging="322"/>
      </w:pPr>
      <w:rPr>
        <w:rFonts w:hint="default"/>
        <w:lang w:val="en-US" w:eastAsia="zh-CN" w:bidi="ar-SA"/>
      </w:rPr>
    </w:lvl>
    <w:lvl w:ilvl="2" w:tentative="0">
      <w:start w:val="0"/>
      <w:numFmt w:val="bullet"/>
      <w:lvlText w:val="•"/>
      <w:lvlJc w:val="left"/>
      <w:pPr>
        <w:ind w:left="1938" w:hanging="322"/>
      </w:pPr>
      <w:rPr>
        <w:rFonts w:hint="default"/>
        <w:lang w:val="en-US" w:eastAsia="zh-CN" w:bidi="ar-SA"/>
      </w:rPr>
    </w:lvl>
    <w:lvl w:ilvl="3" w:tentative="0">
      <w:start w:val="0"/>
      <w:numFmt w:val="bullet"/>
      <w:lvlText w:val="•"/>
      <w:lvlJc w:val="left"/>
      <w:pPr>
        <w:ind w:left="2848" w:hanging="322"/>
      </w:pPr>
      <w:rPr>
        <w:rFonts w:hint="default"/>
        <w:lang w:val="en-US" w:eastAsia="zh-CN" w:bidi="ar-SA"/>
      </w:rPr>
    </w:lvl>
    <w:lvl w:ilvl="4" w:tentative="0">
      <w:start w:val="0"/>
      <w:numFmt w:val="bullet"/>
      <w:lvlText w:val="•"/>
      <w:lvlJc w:val="left"/>
      <w:pPr>
        <w:ind w:left="3757" w:hanging="322"/>
      </w:pPr>
      <w:rPr>
        <w:rFonts w:hint="default"/>
        <w:lang w:val="en-US" w:eastAsia="zh-CN" w:bidi="ar-SA"/>
      </w:rPr>
    </w:lvl>
    <w:lvl w:ilvl="5" w:tentative="0">
      <w:start w:val="0"/>
      <w:numFmt w:val="bullet"/>
      <w:lvlText w:val="•"/>
      <w:lvlJc w:val="left"/>
      <w:pPr>
        <w:ind w:left="4667" w:hanging="322"/>
      </w:pPr>
      <w:rPr>
        <w:rFonts w:hint="default"/>
        <w:lang w:val="en-US" w:eastAsia="zh-CN" w:bidi="ar-SA"/>
      </w:rPr>
    </w:lvl>
    <w:lvl w:ilvl="6" w:tentative="0">
      <w:start w:val="0"/>
      <w:numFmt w:val="bullet"/>
      <w:lvlText w:val="•"/>
      <w:lvlJc w:val="left"/>
      <w:pPr>
        <w:ind w:left="5576" w:hanging="322"/>
      </w:pPr>
      <w:rPr>
        <w:rFonts w:hint="default"/>
        <w:lang w:val="en-US" w:eastAsia="zh-CN" w:bidi="ar-SA"/>
      </w:rPr>
    </w:lvl>
    <w:lvl w:ilvl="7" w:tentative="0">
      <w:start w:val="0"/>
      <w:numFmt w:val="bullet"/>
      <w:lvlText w:val="•"/>
      <w:lvlJc w:val="left"/>
      <w:pPr>
        <w:ind w:left="6485" w:hanging="322"/>
      </w:pPr>
      <w:rPr>
        <w:rFonts w:hint="default"/>
        <w:lang w:val="en-US" w:eastAsia="zh-CN" w:bidi="ar-SA"/>
      </w:rPr>
    </w:lvl>
    <w:lvl w:ilvl="8" w:tentative="0">
      <w:start w:val="0"/>
      <w:numFmt w:val="bullet"/>
      <w:lvlText w:val="•"/>
      <w:lvlJc w:val="left"/>
      <w:pPr>
        <w:ind w:left="7395" w:hanging="322"/>
      </w:pPr>
      <w:rPr>
        <w:rFonts w:hint="default"/>
        <w:lang w:val="en-US" w:eastAsia="zh-CN" w:bidi="ar-SA"/>
      </w:rPr>
    </w:lvl>
  </w:abstractNum>
  <w:abstractNum w:abstractNumId="9">
    <w:nsid w:val="2A8F537B"/>
    <w:multiLevelType w:val="multilevel"/>
    <w:tmpl w:val="2A8F537B"/>
    <w:lvl w:ilvl="0" w:tentative="0">
      <w:start w:val="1"/>
      <w:numFmt w:val="decimal"/>
      <w:lvlText w:val="%1."/>
      <w:lvlJc w:val="left"/>
      <w:pPr>
        <w:ind w:left="1076"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1893" w:hanging="322"/>
      </w:pPr>
      <w:rPr>
        <w:rFonts w:hint="default"/>
        <w:lang w:val="en-US" w:eastAsia="zh-CN" w:bidi="ar-SA"/>
      </w:rPr>
    </w:lvl>
    <w:lvl w:ilvl="2" w:tentative="0">
      <w:start w:val="0"/>
      <w:numFmt w:val="bullet"/>
      <w:lvlText w:val="•"/>
      <w:lvlJc w:val="left"/>
      <w:pPr>
        <w:ind w:left="2706" w:hanging="322"/>
      </w:pPr>
      <w:rPr>
        <w:rFonts w:hint="default"/>
        <w:lang w:val="en-US" w:eastAsia="zh-CN" w:bidi="ar-SA"/>
      </w:rPr>
    </w:lvl>
    <w:lvl w:ilvl="3" w:tentative="0">
      <w:start w:val="0"/>
      <w:numFmt w:val="bullet"/>
      <w:lvlText w:val="•"/>
      <w:lvlJc w:val="left"/>
      <w:pPr>
        <w:ind w:left="3520" w:hanging="322"/>
      </w:pPr>
      <w:rPr>
        <w:rFonts w:hint="default"/>
        <w:lang w:val="en-US" w:eastAsia="zh-CN" w:bidi="ar-SA"/>
      </w:rPr>
    </w:lvl>
    <w:lvl w:ilvl="4" w:tentative="0">
      <w:start w:val="0"/>
      <w:numFmt w:val="bullet"/>
      <w:lvlText w:val="•"/>
      <w:lvlJc w:val="left"/>
      <w:pPr>
        <w:ind w:left="4333" w:hanging="322"/>
      </w:pPr>
      <w:rPr>
        <w:rFonts w:hint="default"/>
        <w:lang w:val="en-US" w:eastAsia="zh-CN" w:bidi="ar-SA"/>
      </w:rPr>
    </w:lvl>
    <w:lvl w:ilvl="5" w:tentative="0">
      <w:start w:val="0"/>
      <w:numFmt w:val="bullet"/>
      <w:lvlText w:val="•"/>
      <w:lvlJc w:val="left"/>
      <w:pPr>
        <w:ind w:left="5147" w:hanging="322"/>
      </w:pPr>
      <w:rPr>
        <w:rFonts w:hint="default"/>
        <w:lang w:val="en-US" w:eastAsia="zh-CN" w:bidi="ar-SA"/>
      </w:rPr>
    </w:lvl>
    <w:lvl w:ilvl="6" w:tentative="0">
      <w:start w:val="0"/>
      <w:numFmt w:val="bullet"/>
      <w:lvlText w:val="•"/>
      <w:lvlJc w:val="left"/>
      <w:pPr>
        <w:ind w:left="5960" w:hanging="322"/>
      </w:pPr>
      <w:rPr>
        <w:rFonts w:hint="default"/>
        <w:lang w:val="en-US" w:eastAsia="zh-CN" w:bidi="ar-SA"/>
      </w:rPr>
    </w:lvl>
    <w:lvl w:ilvl="7" w:tentative="0">
      <w:start w:val="0"/>
      <w:numFmt w:val="bullet"/>
      <w:lvlText w:val="•"/>
      <w:lvlJc w:val="left"/>
      <w:pPr>
        <w:ind w:left="6773" w:hanging="322"/>
      </w:pPr>
      <w:rPr>
        <w:rFonts w:hint="default"/>
        <w:lang w:val="en-US" w:eastAsia="zh-CN" w:bidi="ar-SA"/>
      </w:rPr>
    </w:lvl>
    <w:lvl w:ilvl="8" w:tentative="0">
      <w:start w:val="0"/>
      <w:numFmt w:val="bullet"/>
      <w:lvlText w:val="•"/>
      <w:lvlJc w:val="left"/>
      <w:pPr>
        <w:ind w:left="7587" w:hanging="322"/>
      </w:pPr>
      <w:rPr>
        <w:rFonts w:hint="default"/>
        <w:lang w:val="en-US" w:eastAsia="zh-CN" w:bidi="ar-SA"/>
      </w:rPr>
    </w:lvl>
  </w:abstractNum>
  <w:abstractNum w:abstractNumId="10">
    <w:nsid w:val="4D4DC07F"/>
    <w:multiLevelType w:val="multilevel"/>
    <w:tmpl w:val="4D4DC07F"/>
    <w:lvl w:ilvl="0" w:tentative="0">
      <w:start w:val="1"/>
      <w:numFmt w:val="decimal"/>
      <w:lvlText w:val="%1."/>
      <w:lvlJc w:val="left"/>
      <w:pPr>
        <w:ind w:left="114"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1029" w:hanging="322"/>
      </w:pPr>
      <w:rPr>
        <w:rFonts w:hint="default"/>
        <w:lang w:val="en-US" w:eastAsia="zh-CN" w:bidi="ar-SA"/>
      </w:rPr>
    </w:lvl>
    <w:lvl w:ilvl="2" w:tentative="0">
      <w:start w:val="0"/>
      <w:numFmt w:val="bullet"/>
      <w:lvlText w:val="•"/>
      <w:lvlJc w:val="left"/>
      <w:pPr>
        <w:ind w:left="1938" w:hanging="322"/>
      </w:pPr>
      <w:rPr>
        <w:rFonts w:hint="default"/>
        <w:lang w:val="en-US" w:eastAsia="zh-CN" w:bidi="ar-SA"/>
      </w:rPr>
    </w:lvl>
    <w:lvl w:ilvl="3" w:tentative="0">
      <w:start w:val="0"/>
      <w:numFmt w:val="bullet"/>
      <w:lvlText w:val="•"/>
      <w:lvlJc w:val="left"/>
      <w:pPr>
        <w:ind w:left="2847" w:hanging="322"/>
      </w:pPr>
      <w:rPr>
        <w:rFonts w:hint="default"/>
        <w:lang w:val="en-US" w:eastAsia="zh-CN" w:bidi="ar-SA"/>
      </w:rPr>
    </w:lvl>
    <w:lvl w:ilvl="4" w:tentative="0">
      <w:start w:val="0"/>
      <w:numFmt w:val="bullet"/>
      <w:lvlText w:val="•"/>
      <w:lvlJc w:val="left"/>
      <w:pPr>
        <w:ind w:left="3757" w:hanging="322"/>
      </w:pPr>
      <w:rPr>
        <w:rFonts w:hint="default"/>
        <w:lang w:val="en-US" w:eastAsia="zh-CN" w:bidi="ar-SA"/>
      </w:rPr>
    </w:lvl>
    <w:lvl w:ilvl="5" w:tentative="0">
      <w:start w:val="0"/>
      <w:numFmt w:val="bullet"/>
      <w:lvlText w:val="•"/>
      <w:lvlJc w:val="left"/>
      <w:pPr>
        <w:ind w:left="4666" w:hanging="322"/>
      </w:pPr>
      <w:rPr>
        <w:rFonts w:hint="default"/>
        <w:lang w:val="en-US" w:eastAsia="zh-CN" w:bidi="ar-SA"/>
      </w:rPr>
    </w:lvl>
    <w:lvl w:ilvl="6" w:tentative="0">
      <w:start w:val="0"/>
      <w:numFmt w:val="bullet"/>
      <w:lvlText w:val="•"/>
      <w:lvlJc w:val="left"/>
      <w:pPr>
        <w:ind w:left="5575" w:hanging="322"/>
      </w:pPr>
      <w:rPr>
        <w:rFonts w:hint="default"/>
        <w:lang w:val="en-US" w:eastAsia="zh-CN" w:bidi="ar-SA"/>
      </w:rPr>
    </w:lvl>
    <w:lvl w:ilvl="7" w:tentative="0">
      <w:start w:val="0"/>
      <w:numFmt w:val="bullet"/>
      <w:lvlText w:val="•"/>
      <w:lvlJc w:val="left"/>
      <w:pPr>
        <w:ind w:left="6485" w:hanging="322"/>
      </w:pPr>
      <w:rPr>
        <w:rFonts w:hint="default"/>
        <w:lang w:val="en-US" w:eastAsia="zh-CN" w:bidi="ar-SA"/>
      </w:rPr>
    </w:lvl>
    <w:lvl w:ilvl="8" w:tentative="0">
      <w:start w:val="0"/>
      <w:numFmt w:val="bullet"/>
      <w:lvlText w:val="•"/>
      <w:lvlJc w:val="left"/>
      <w:pPr>
        <w:ind w:left="7394" w:hanging="322"/>
      </w:pPr>
      <w:rPr>
        <w:rFonts w:hint="default"/>
        <w:lang w:val="en-US" w:eastAsia="zh-CN" w:bidi="ar-SA"/>
      </w:rPr>
    </w:lvl>
  </w:abstractNum>
  <w:abstractNum w:abstractNumId="11">
    <w:nsid w:val="59ADCABA"/>
    <w:multiLevelType w:val="multilevel"/>
    <w:tmpl w:val="59ADCABA"/>
    <w:lvl w:ilvl="0" w:tentative="0">
      <w:start w:val="1"/>
      <w:numFmt w:val="decimal"/>
      <w:lvlText w:val="%1."/>
      <w:lvlJc w:val="left"/>
      <w:pPr>
        <w:ind w:left="1266" w:hanging="480"/>
        <w:jc w:val="left"/>
      </w:pPr>
      <w:rPr>
        <w:rFonts w:hint="default" w:ascii="宋体" w:hAnsi="宋体" w:eastAsia="宋体" w:cs="宋体"/>
        <w:b w:val="0"/>
        <w:bCs w:val="0"/>
        <w:i w:val="0"/>
        <w:iCs w:val="0"/>
        <w:spacing w:val="0"/>
        <w:w w:val="99"/>
        <w:sz w:val="32"/>
        <w:szCs w:val="32"/>
        <w:lang w:val="en-US" w:eastAsia="zh-CN" w:bidi="ar-SA"/>
      </w:rPr>
    </w:lvl>
    <w:lvl w:ilvl="1" w:tentative="0">
      <w:start w:val="0"/>
      <w:numFmt w:val="bullet"/>
      <w:lvlText w:val="•"/>
      <w:lvlJc w:val="left"/>
      <w:pPr>
        <w:ind w:left="2055" w:hanging="480"/>
      </w:pPr>
      <w:rPr>
        <w:rFonts w:hint="default"/>
        <w:lang w:val="en-US" w:eastAsia="zh-CN" w:bidi="ar-SA"/>
      </w:rPr>
    </w:lvl>
    <w:lvl w:ilvl="2" w:tentative="0">
      <w:start w:val="0"/>
      <w:numFmt w:val="bullet"/>
      <w:lvlText w:val="•"/>
      <w:lvlJc w:val="left"/>
      <w:pPr>
        <w:ind w:left="2850" w:hanging="480"/>
      </w:pPr>
      <w:rPr>
        <w:rFonts w:hint="default"/>
        <w:lang w:val="en-US" w:eastAsia="zh-CN" w:bidi="ar-SA"/>
      </w:rPr>
    </w:lvl>
    <w:lvl w:ilvl="3" w:tentative="0">
      <w:start w:val="0"/>
      <w:numFmt w:val="bullet"/>
      <w:lvlText w:val="•"/>
      <w:lvlJc w:val="left"/>
      <w:pPr>
        <w:ind w:left="3646" w:hanging="480"/>
      </w:pPr>
      <w:rPr>
        <w:rFonts w:hint="default"/>
        <w:lang w:val="en-US" w:eastAsia="zh-CN" w:bidi="ar-SA"/>
      </w:rPr>
    </w:lvl>
    <w:lvl w:ilvl="4" w:tentative="0">
      <w:start w:val="0"/>
      <w:numFmt w:val="bullet"/>
      <w:lvlText w:val="•"/>
      <w:lvlJc w:val="left"/>
      <w:pPr>
        <w:ind w:left="4441" w:hanging="480"/>
      </w:pPr>
      <w:rPr>
        <w:rFonts w:hint="default"/>
        <w:lang w:val="en-US" w:eastAsia="zh-CN" w:bidi="ar-SA"/>
      </w:rPr>
    </w:lvl>
    <w:lvl w:ilvl="5" w:tentative="0">
      <w:start w:val="0"/>
      <w:numFmt w:val="bullet"/>
      <w:lvlText w:val="•"/>
      <w:lvlJc w:val="left"/>
      <w:pPr>
        <w:ind w:left="5237" w:hanging="480"/>
      </w:pPr>
      <w:rPr>
        <w:rFonts w:hint="default"/>
        <w:lang w:val="en-US" w:eastAsia="zh-CN" w:bidi="ar-SA"/>
      </w:rPr>
    </w:lvl>
    <w:lvl w:ilvl="6" w:tentative="0">
      <w:start w:val="0"/>
      <w:numFmt w:val="bullet"/>
      <w:lvlText w:val="•"/>
      <w:lvlJc w:val="left"/>
      <w:pPr>
        <w:ind w:left="6032" w:hanging="480"/>
      </w:pPr>
      <w:rPr>
        <w:rFonts w:hint="default"/>
        <w:lang w:val="en-US" w:eastAsia="zh-CN" w:bidi="ar-SA"/>
      </w:rPr>
    </w:lvl>
    <w:lvl w:ilvl="7" w:tentative="0">
      <w:start w:val="0"/>
      <w:numFmt w:val="bullet"/>
      <w:lvlText w:val="•"/>
      <w:lvlJc w:val="left"/>
      <w:pPr>
        <w:ind w:left="6827" w:hanging="480"/>
      </w:pPr>
      <w:rPr>
        <w:rFonts w:hint="default"/>
        <w:lang w:val="en-US" w:eastAsia="zh-CN" w:bidi="ar-SA"/>
      </w:rPr>
    </w:lvl>
    <w:lvl w:ilvl="8" w:tentative="0">
      <w:start w:val="0"/>
      <w:numFmt w:val="bullet"/>
      <w:lvlText w:val="•"/>
      <w:lvlJc w:val="left"/>
      <w:pPr>
        <w:ind w:left="7623" w:hanging="480"/>
      </w:pPr>
      <w:rPr>
        <w:rFonts w:hint="default"/>
        <w:lang w:val="en-US" w:eastAsia="zh-CN" w:bidi="ar-SA"/>
      </w:rPr>
    </w:lvl>
  </w:abstractNum>
  <w:abstractNum w:abstractNumId="12">
    <w:nsid w:val="5A241D34"/>
    <w:multiLevelType w:val="multilevel"/>
    <w:tmpl w:val="5A241D34"/>
    <w:lvl w:ilvl="0" w:tentative="0">
      <w:start w:val="1"/>
      <w:numFmt w:val="decimal"/>
      <w:lvlText w:val="%1."/>
      <w:lvlJc w:val="left"/>
      <w:pPr>
        <w:ind w:left="114" w:hanging="324"/>
        <w:jc w:val="left"/>
      </w:pPr>
      <w:rPr>
        <w:rFonts w:hint="default" w:ascii="宋体" w:hAnsi="宋体" w:eastAsia="宋体" w:cs="宋体"/>
        <w:b w:val="0"/>
        <w:bCs w:val="0"/>
        <w:i w:val="0"/>
        <w:iCs w:val="0"/>
        <w:spacing w:val="1"/>
        <w:w w:val="97"/>
        <w:sz w:val="30"/>
        <w:szCs w:val="30"/>
        <w:lang w:val="en-US" w:eastAsia="zh-CN" w:bidi="ar-SA"/>
      </w:rPr>
    </w:lvl>
    <w:lvl w:ilvl="1" w:tentative="0">
      <w:start w:val="0"/>
      <w:numFmt w:val="bullet"/>
      <w:lvlText w:val="•"/>
      <w:lvlJc w:val="left"/>
      <w:pPr>
        <w:ind w:left="1029" w:hanging="324"/>
      </w:pPr>
      <w:rPr>
        <w:rFonts w:hint="default"/>
        <w:lang w:val="en-US" w:eastAsia="zh-CN" w:bidi="ar-SA"/>
      </w:rPr>
    </w:lvl>
    <w:lvl w:ilvl="2" w:tentative="0">
      <w:start w:val="0"/>
      <w:numFmt w:val="bullet"/>
      <w:lvlText w:val="•"/>
      <w:lvlJc w:val="left"/>
      <w:pPr>
        <w:ind w:left="1938" w:hanging="324"/>
      </w:pPr>
      <w:rPr>
        <w:rFonts w:hint="default"/>
        <w:lang w:val="en-US" w:eastAsia="zh-CN" w:bidi="ar-SA"/>
      </w:rPr>
    </w:lvl>
    <w:lvl w:ilvl="3" w:tentative="0">
      <w:start w:val="0"/>
      <w:numFmt w:val="bullet"/>
      <w:lvlText w:val="•"/>
      <w:lvlJc w:val="left"/>
      <w:pPr>
        <w:ind w:left="2847" w:hanging="324"/>
      </w:pPr>
      <w:rPr>
        <w:rFonts w:hint="default"/>
        <w:lang w:val="en-US" w:eastAsia="zh-CN" w:bidi="ar-SA"/>
      </w:rPr>
    </w:lvl>
    <w:lvl w:ilvl="4" w:tentative="0">
      <w:start w:val="0"/>
      <w:numFmt w:val="bullet"/>
      <w:lvlText w:val="•"/>
      <w:lvlJc w:val="left"/>
      <w:pPr>
        <w:ind w:left="3757" w:hanging="324"/>
      </w:pPr>
      <w:rPr>
        <w:rFonts w:hint="default"/>
        <w:lang w:val="en-US" w:eastAsia="zh-CN" w:bidi="ar-SA"/>
      </w:rPr>
    </w:lvl>
    <w:lvl w:ilvl="5" w:tentative="0">
      <w:start w:val="0"/>
      <w:numFmt w:val="bullet"/>
      <w:lvlText w:val="•"/>
      <w:lvlJc w:val="left"/>
      <w:pPr>
        <w:ind w:left="4666" w:hanging="324"/>
      </w:pPr>
      <w:rPr>
        <w:rFonts w:hint="default"/>
        <w:lang w:val="en-US" w:eastAsia="zh-CN" w:bidi="ar-SA"/>
      </w:rPr>
    </w:lvl>
    <w:lvl w:ilvl="6" w:tentative="0">
      <w:start w:val="0"/>
      <w:numFmt w:val="bullet"/>
      <w:lvlText w:val="•"/>
      <w:lvlJc w:val="left"/>
      <w:pPr>
        <w:ind w:left="5575" w:hanging="324"/>
      </w:pPr>
      <w:rPr>
        <w:rFonts w:hint="default"/>
        <w:lang w:val="en-US" w:eastAsia="zh-CN" w:bidi="ar-SA"/>
      </w:rPr>
    </w:lvl>
    <w:lvl w:ilvl="7" w:tentative="0">
      <w:start w:val="0"/>
      <w:numFmt w:val="bullet"/>
      <w:lvlText w:val="•"/>
      <w:lvlJc w:val="left"/>
      <w:pPr>
        <w:ind w:left="6485" w:hanging="324"/>
      </w:pPr>
      <w:rPr>
        <w:rFonts w:hint="default"/>
        <w:lang w:val="en-US" w:eastAsia="zh-CN" w:bidi="ar-SA"/>
      </w:rPr>
    </w:lvl>
    <w:lvl w:ilvl="8" w:tentative="0">
      <w:start w:val="0"/>
      <w:numFmt w:val="bullet"/>
      <w:lvlText w:val="•"/>
      <w:lvlJc w:val="left"/>
      <w:pPr>
        <w:ind w:left="7394" w:hanging="324"/>
      </w:pPr>
      <w:rPr>
        <w:rFonts w:hint="default"/>
        <w:lang w:val="en-US" w:eastAsia="zh-CN" w:bidi="ar-SA"/>
      </w:rPr>
    </w:lvl>
  </w:abstractNum>
  <w:abstractNum w:abstractNumId="13">
    <w:nsid w:val="72183CF9"/>
    <w:multiLevelType w:val="multilevel"/>
    <w:tmpl w:val="72183CF9"/>
    <w:lvl w:ilvl="0" w:tentative="0">
      <w:start w:val="1"/>
      <w:numFmt w:val="decimal"/>
      <w:lvlText w:val="%1."/>
      <w:lvlJc w:val="left"/>
      <w:pPr>
        <w:ind w:left="114" w:hanging="322"/>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1029" w:hanging="322"/>
      </w:pPr>
      <w:rPr>
        <w:rFonts w:hint="default"/>
        <w:lang w:val="en-US" w:eastAsia="zh-CN" w:bidi="ar-SA"/>
      </w:rPr>
    </w:lvl>
    <w:lvl w:ilvl="2" w:tentative="0">
      <w:start w:val="0"/>
      <w:numFmt w:val="bullet"/>
      <w:lvlText w:val="•"/>
      <w:lvlJc w:val="left"/>
      <w:pPr>
        <w:ind w:left="1938" w:hanging="322"/>
      </w:pPr>
      <w:rPr>
        <w:rFonts w:hint="default"/>
        <w:lang w:val="en-US" w:eastAsia="zh-CN" w:bidi="ar-SA"/>
      </w:rPr>
    </w:lvl>
    <w:lvl w:ilvl="3" w:tentative="0">
      <w:start w:val="0"/>
      <w:numFmt w:val="bullet"/>
      <w:lvlText w:val="•"/>
      <w:lvlJc w:val="left"/>
      <w:pPr>
        <w:ind w:left="2848" w:hanging="322"/>
      </w:pPr>
      <w:rPr>
        <w:rFonts w:hint="default"/>
        <w:lang w:val="en-US" w:eastAsia="zh-CN" w:bidi="ar-SA"/>
      </w:rPr>
    </w:lvl>
    <w:lvl w:ilvl="4" w:tentative="0">
      <w:start w:val="0"/>
      <w:numFmt w:val="bullet"/>
      <w:lvlText w:val="•"/>
      <w:lvlJc w:val="left"/>
      <w:pPr>
        <w:ind w:left="3757" w:hanging="322"/>
      </w:pPr>
      <w:rPr>
        <w:rFonts w:hint="default"/>
        <w:lang w:val="en-US" w:eastAsia="zh-CN" w:bidi="ar-SA"/>
      </w:rPr>
    </w:lvl>
    <w:lvl w:ilvl="5" w:tentative="0">
      <w:start w:val="0"/>
      <w:numFmt w:val="bullet"/>
      <w:lvlText w:val="•"/>
      <w:lvlJc w:val="left"/>
      <w:pPr>
        <w:ind w:left="4667" w:hanging="322"/>
      </w:pPr>
      <w:rPr>
        <w:rFonts w:hint="default"/>
        <w:lang w:val="en-US" w:eastAsia="zh-CN" w:bidi="ar-SA"/>
      </w:rPr>
    </w:lvl>
    <w:lvl w:ilvl="6" w:tentative="0">
      <w:start w:val="0"/>
      <w:numFmt w:val="bullet"/>
      <w:lvlText w:val="•"/>
      <w:lvlJc w:val="left"/>
      <w:pPr>
        <w:ind w:left="5576" w:hanging="322"/>
      </w:pPr>
      <w:rPr>
        <w:rFonts w:hint="default"/>
        <w:lang w:val="en-US" w:eastAsia="zh-CN" w:bidi="ar-SA"/>
      </w:rPr>
    </w:lvl>
    <w:lvl w:ilvl="7" w:tentative="0">
      <w:start w:val="0"/>
      <w:numFmt w:val="bullet"/>
      <w:lvlText w:val="•"/>
      <w:lvlJc w:val="left"/>
      <w:pPr>
        <w:ind w:left="6485" w:hanging="322"/>
      </w:pPr>
      <w:rPr>
        <w:rFonts w:hint="default"/>
        <w:lang w:val="en-US" w:eastAsia="zh-CN" w:bidi="ar-SA"/>
      </w:rPr>
    </w:lvl>
    <w:lvl w:ilvl="8" w:tentative="0">
      <w:start w:val="0"/>
      <w:numFmt w:val="bullet"/>
      <w:lvlText w:val="•"/>
      <w:lvlJc w:val="left"/>
      <w:pPr>
        <w:ind w:left="7395" w:hanging="322"/>
      </w:pPr>
      <w:rPr>
        <w:rFonts w:hint="default"/>
        <w:lang w:val="en-US" w:eastAsia="zh-CN" w:bidi="ar-SA"/>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720"/>
  <w:evenAndOddHeaders w:val="true"/>
  <w:drawingGridHorizontalSpacing w:val="110"/>
  <w:displayHorizontalDrawingGridEvery w:val="1"/>
  <w:displayVerticalDrawingGridEvery w:val="1"/>
  <w:noPunctuationKerning w:val="true"/>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000000"/>
    <w:rsid w:val="483A7386"/>
    <w:rsid w:val="5FBFA3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1" w:right="143"/>
      <w:jc w:val="center"/>
      <w:outlineLvl w:val="1"/>
    </w:pPr>
    <w:rPr>
      <w:rFonts w:ascii="黑体" w:hAnsi="黑体" w:eastAsia="黑体" w:cs="黑体"/>
      <w:sz w:val="44"/>
      <w:szCs w:val="44"/>
      <w:lang w:val="en-US" w:eastAsia="zh-CN" w:bidi="ar-SA"/>
    </w:rPr>
  </w:style>
  <w:style w:type="paragraph" w:styleId="3">
    <w:name w:val="heading 2"/>
    <w:basedOn w:val="1"/>
    <w:next w:val="1"/>
    <w:qFormat/>
    <w:uiPriority w:val="1"/>
    <w:pPr>
      <w:ind w:left="755"/>
      <w:outlineLvl w:val="2"/>
    </w:pPr>
    <w:rPr>
      <w:rFonts w:ascii="宋体" w:hAnsi="宋体" w:eastAsia="宋体" w:cs="宋体"/>
      <w:b/>
      <w:bCs/>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14"/>
    </w:pPr>
    <w:rPr>
      <w:rFonts w:ascii="宋体" w:hAnsi="宋体" w:eastAsia="宋体" w:cs="宋体"/>
      <w:sz w:val="32"/>
      <w:szCs w:val="32"/>
      <w:lang w:val="en-US" w:eastAsia="zh-CN" w:bidi="ar-SA"/>
    </w:rPr>
  </w:style>
  <w:style w:type="paragraph" w:styleId="5">
    <w:name w:val="Title"/>
    <w:basedOn w:val="1"/>
    <w:qFormat/>
    <w:uiPriority w:val="1"/>
    <w:pPr>
      <w:spacing w:before="7"/>
      <w:ind w:right="143"/>
      <w:jc w:val="center"/>
    </w:pPr>
    <w:rPr>
      <w:rFonts w:ascii="黑体" w:hAnsi="黑体" w:eastAsia="黑体" w:cs="黑体"/>
      <w:sz w:val="48"/>
      <w:szCs w:val="48"/>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14" w:firstLine="640"/>
    </w:pPr>
    <w:rPr>
      <w:rFonts w:ascii="宋体" w:hAnsi="宋体" w:eastAsia="宋体" w:cs="宋体"/>
      <w:lang w:val="en-US" w:eastAsia="zh-CN" w:bidi="ar-SA"/>
    </w:rPr>
  </w:style>
  <w:style w:type="paragraph" w:customStyle="1" w:styleId="1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TotalTime>11</TotalTime>
  <ScaleCrop>false</ScaleCrop>
  <LinksUpToDate>false</LinksUpToDate>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2025-04-24T14:48:00Z</dcterms:created>
  <dc:creator>user</dc:creator>
  <cp:lastModifiedBy>＾笑颜＾</cp:lastModifiedBy>
  <dcterms:modified xsi:type="dcterms:W3CDTF">2025-06-23T16:06:35Z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Aspose Pty Ltd.</vt:lpwstr>
  </property>
  <property fmtid="{D5CDD505-2E9C-101B-9397-08002B2CF9AE}" pid="4" name="LastSaved">
    <vt:filetime>2025-04-24T00:00:00Z</vt:filetime>
  </property>
  <property fmtid="{D5CDD505-2E9C-101B-9397-08002B2CF9AE}" pid="5" name="Producer">
    <vt:lpwstr>Aspose.PDF for Java 23.7</vt:lpwstr>
  </property>
  <property fmtid="{D5CDD505-2E9C-101B-9397-08002B2CF9AE}" pid="6" name="SourceModified">
    <vt:lpwstr>D:20240822192558+11'25'</vt:lpwstr>
  </property>
  <property fmtid="{D5CDD505-2E9C-101B-9397-08002B2CF9AE}" pid="7" name="KSOProductBuildVer">
    <vt:lpwstr>2052-11.8.2.9980</vt:lpwstr>
  </property>
  <property fmtid="{D5CDD505-2E9C-101B-9397-08002B2CF9AE}" pid="8" name="ICV">
    <vt:lpwstr>80EA3D5BA8E94451B226DFE939DEE02B_12</vt:lpwstr>
  </property>
</Properties>
</file>