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85101">
      <w:pPr>
        <w:spacing w:line="600" w:lineRule="exact"/>
        <w:jc w:val="left"/>
        <w:outlineLvl w:val="0"/>
        <w:rPr>
          <w:rFonts w:ascii="方正小标宋简体" w:hAnsi="宋体" w:eastAsia="方正小标宋简体"/>
          <w:color w:val="auto"/>
          <w:sz w:val="21"/>
          <w:szCs w:val="21"/>
          <w:highlight w:val="none"/>
        </w:rPr>
      </w:pPr>
      <w:bookmarkStart w:id="0" w:name="_Toc15306267"/>
    </w:p>
    <w:p w14:paraId="01CFB96D">
      <w:pPr>
        <w:spacing w:line="600" w:lineRule="exact"/>
        <w:jc w:val="center"/>
        <w:outlineLvl w:val="0"/>
        <w:rPr>
          <w:rFonts w:ascii="方正小标宋简体" w:hAnsi="宋体" w:eastAsia="方正小标宋简体"/>
          <w:color w:val="auto"/>
          <w:sz w:val="72"/>
          <w:szCs w:val="72"/>
          <w:highlight w:val="none"/>
        </w:rPr>
      </w:pPr>
    </w:p>
    <w:p w14:paraId="738B0C02">
      <w:pPr>
        <w:spacing w:line="600" w:lineRule="exact"/>
        <w:jc w:val="center"/>
        <w:outlineLvl w:val="0"/>
        <w:rPr>
          <w:rFonts w:ascii="方正小标宋简体" w:hAnsi="宋体" w:eastAsia="方正小标宋简体"/>
          <w:color w:val="auto"/>
          <w:sz w:val="72"/>
          <w:szCs w:val="72"/>
          <w:highlight w:val="none"/>
        </w:rPr>
      </w:pPr>
    </w:p>
    <w:p w14:paraId="03913300">
      <w:pPr>
        <w:adjustRightInd w:val="0"/>
        <w:snapToGrid w:val="0"/>
        <w:spacing w:line="360" w:lineRule="auto"/>
        <w:jc w:val="center"/>
        <w:outlineLvl w:val="0"/>
        <w:rPr>
          <w:rFonts w:hint="eastAsia" w:ascii="方正小标宋简体" w:hAnsi="宋体" w:eastAsia="方正小标宋简体" w:cs="Times New Roman"/>
          <w:color w:val="auto"/>
          <w:kern w:val="2"/>
          <w:sz w:val="44"/>
          <w:szCs w:val="44"/>
          <w:highlight w:val="none"/>
          <w:lang w:val="en-US" w:eastAsia="zh-CN" w:bidi="ar-SA"/>
        </w:rPr>
      </w:pPr>
      <w:bookmarkStart w:id="1" w:name="_Toc15396597"/>
      <w:bookmarkStart w:id="2" w:name="_Toc15378441"/>
      <w:bookmarkStart w:id="3" w:name="_Toc18277"/>
      <w:bookmarkStart w:id="4" w:name="_Toc15377425"/>
      <w:bookmarkStart w:id="5" w:name="_Toc11201"/>
      <w:bookmarkStart w:id="6" w:name="_Toc21154"/>
      <w:bookmarkStart w:id="7" w:name="_Toc15396475"/>
      <w:bookmarkStart w:id="8" w:name="_Toc23262"/>
      <w:bookmarkStart w:id="9" w:name="_Toc15377193"/>
      <w:r>
        <w:rPr>
          <w:rFonts w:hint="default" w:ascii="Times New Roman" w:hAnsi="Times New Roman" w:eastAsia="方正小标宋简体" w:cs="Times New Roman"/>
          <w:color w:val="auto"/>
          <w:kern w:val="2"/>
          <w:sz w:val="44"/>
          <w:szCs w:val="44"/>
          <w:highlight w:val="none"/>
          <w:lang w:val="en-US" w:eastAsia="zh-CN" w:bidi="ar-SA"/>
        </w:rPr>
        <w:t>2024</w:t>
      </w:r>
      <w:r>
        <w:rPr>
          <w:rFonts w:hint="eastAsia" w:ascii="方正小标宋简体" w:hAnsi="宋体" w:eastAsia="方正小标宋简体" w:cs="Times New Roman"/>
          <w:color w:val="auto"/>
          <w:kern w:val="2"/>
          <w:sz w:val="44"/>
          <w:szCs w:val="44"/>
          <w:highlight w:val="none"/>
          <w:lang w:val="en-US" w:eastAsia="zh-CN" w:bidi="ar-SA"/>
        </w:rPr>
        <w:t>年度</w:t>
      </w:r>
      <w:bookmarkEnd w:id="1"/>
      <w:bookmarkEnd w:id="2"/>
      <w:bookmarkEnd w:id="3"/>
      <w:bookmarkEnd w:id="4"/>
      <w:bookmarkEnd w:id="5"/>
      <w:bookmarkEnd w:id="6"/>
      <w:bookmarkEnd w:id="7"/>
      <w:bookmarkEnd w:id="8"/>
      <w:bookmarkEnd w:id="9"/>
    </w:p>
    <w:p w14:paraId="04D1ACCD">
      <w:pPr>
        <w:adjustRightInd w:val="0"/>
        <w:snapToGrid w:val="0"/>
        <w:spacing w:line="360" w:lineRule="auto"/>
        <w:jc w:val="center"/>
        <w:outlineLvl w:val="0"/>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四川省</w:t>
      </w:r>
      <w:bookmarkStart w:id="10" w:name="_Toc15377426"/>
      <w:bookmarkStart w:id="11" w:name="_Toc15377194"/>
      <w:bookmarkStart w:id="12" w:name="_Toc3624"/>
      <w:bookmarkStart w:id="13" w:name="_Toc15378442"/>
      <w:bookmarkStart w:id="14" w:name="_Toc15396598"/>
      <w:bookmarkStart w:id="15" w:name="_Toc24683"/>
      <w:bookmarkStart w:id="16" w:name="_Toc6285"/>
      <w:bookmarkStart w:id="17" w:name="_Toc15403"/>
      <w:bookmarkStart w:id="18" w:name="_Toc15396476"/>
      <w:r>
        <w:rPr>
          <w:rFonts w:hint="eastAsia" w:ascii="方正小标宋简体" w:hAnsi="宋体" w:eastAsia="方正小标宋简体" w:cs="Times New Roman"/>
          <w:color w:val="auto"/>
          <w:kern w:val="2"/>
          <w:sz w:val="44"/>
          <w:szCs w:val="44"/>
          <w:highlight w:val="none"/>
          <w:lang w:val="en-US" w:eastAsia="zh-CN" w:bidi="ar-SA"/>
        </w:rPr>
        <w:t>遂宁市</w:t>
      </w:r>
      <w:bookmarkEnd w:id="0"/>
      <w:bookmarkStart w:id="19" w:name="_Toc15306268"/>
      <w:r>
        <w:rPr>
          <w:rFonts w:hint="eastAsia" w:ascii="方正小标宋简体" w:hAnsi="宋体" w:eastAsia="方正小标宋简体" w:cs="Times New Roman"/>
          <w:color w:val="auto"/>
          <w:kern w:val="2"/>
          <w:sz w:val="44"/>
          <w:szCs w:val="44"/>
          <w:highlight w:val="none"/>
          <w:lang w:val="en-US" w:eastAsia="zh-CN" w:bidi="ar-SA"/>
        </w:rPr>
        <w:t>疾病预防控制中心</w:t>
      </w:r>
    </w:p>
    <w:p w14:paraId="4AF95013">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r>
        <w:rPr>
          <w:rFonts w:hint="eastAsia" w:ascii="方正小标宋简体" w:hAnsi="宋体" w:eastAsia="方正小标宋简体" w:cs="Times New Roman"/>
          <w:color w:val="auto"/>
          <w:kern w:val="2"/>
          <w:sz w:val="44"/>
          <w:szCs w:val="44"/>
          <w:highlight w:val="none"/>
          <w:lang w:val="en-US" w:eastAsia="zh-CN" w:bidi="ar-SA"/>
        </w:rPr>
        <w:t>单位决算</w:t>
      </w:r>
      <w:bookmarkEnd w:id="10"/>
      <w:bookmarkEnd w:id="11"/>
      <w:bookmarkEnd w:id="12"/>
      <w:bookmarkEnd w:id="13"/>
      <w:bookmarkEnd w:id="14"/>
      <w:bookmarkEnd w:id="15"/>
      <w:bookmarkEnd w:id="16"/>
      <w:bookmarkEnd w:id="17"/>
      <w:bookmarkEnd w:id="18"/>
      <w:bookmarkEnd w:id="19"/>
    </w:p>
    <w:p w14:paraId="2C72EDCB">
      <w:pPr>
        <w:widowControl/>
        <w:jc w:val="center"/>
        <w:rPr>
          <w:rFonts w:ascii="黑体" w:hAnsi="黑体" w:eastAsia="黑体"/>
          <w:color w:val="auto"/>
          <w:sz w:val="48"/>
          <w:szCs w:val="48"/>
          <w:highlight w:val="none"/>
        </w:rPr>
      </w:pPr>
      <w:bookmarkStart w:id="174" w:name="_GoBack"/>
      <w:bookmarkEnd w:id="174"/>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64704405">
      <w:pPr>
        <w:widowControl/>
        <w:jc w:val="center"/>
        <w:rPr>
          <w:rFonts w:ascii="黑体" w:hAnsi="黑体" w:eastAsia="黑体" w:cstheme="minorBidi"/>
          <w:color w:val="auto"/>
          <w:sz w:val="28"/>
          <w:szCs w:val="28"/>
          <w:highlight w:val="none"/>
        </w:rPr>
      </w:pPr>
    </w:p>
    <w:p w14:paraId="79EB3C80">
      <w:pPr>
        <w:pStyle w:val="14"/>
        <w:rPr>
          <w:rFonts w:hint="eastAsia" w:ascii="仿宋" w:hAnsi="仿宋" w:eastAsia="仿宋" w:cs="仿宋"/>
          <w:sz w:val="28"/>
          <w:szCs w:val="28"/>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22</w:t>
      </w:r>
      <w:r>
        <w:rPr>
          <w:rFonts w:hint="eastAsia"/>
          <w:color w:val="auto"/>
          <w:highlight w:val="none"/>
        </w:rPr>
        <w:t>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"1-2" \h \u </w:instrText>
      </w:r>
      <w:r>
        <w:rPr>
          <w:rFonts w:hint="eastAsia" w:ascii="仿宋" w:hAnsi="仿宋" w:eastAsia="仿宋" w:cs="仿宋"/>
          <w:sz w:val="28"/>
          <w:szCs w:val="28"/>
        </w:rPr>
        <w:fldChar w:fldCharType="separate"/>
      </w:r>
    </w:p>
    <w:p w14:paraId="564258B8">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_Toc6813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 xml:space="preserve">第一部分 </w:t>
      </w:r>
      <w:r>
        <w:rPr>
          <w:rFonts w:hint="eastAsia" w:ascii="仿宋" w:hAnsi="仿宋" w:eastAsia="仿宋" w:cs="仿宋"/>
          <w:sz w:val="24"/>
          <w:szCs w:val="24"/>
          <w:highlight w:val="none"/>
          <w:lang w:eastAsia="zh-CN"/>
        </w:rPr>
        <w:t>单位</w:t>
      </w:r>
      <w:r>
        <w:rPr>
          <w:rFonts w:hint="eastAsia" w:ascii="仿宋" w:hAnsi="仿宋" w:eastAsia="仿宋" w:cs="仿宋"/>
          <w:bCs w:val="0"/>
          <w:sz w:val="24"/>
          <w:szCs w:val="24"/>
          <w:highlight w:val="none"/>
        </w:rPr>
        <w:t>概况</w:t>
      </w:r>
      <w:r>
        <w:rPr>
          <w:rFonts w:hint="eastAsia" w:ascii="仿宋" w:hAnsi="仿宋" w:eastAsia="仿宋" w:cs="仿宋"/>
          <w:sz w:val="24"/>
          <w:szCs w:val="24"/>
        </w:rPr>
        <w:tab/>
      </w:r>
      <w:r>
        <w:rPr>
          <w:rFonts w:hint="eastAsia" w:cs="仿宋"/>
          <w:sz w:val="24"/>
          <w:szCs w:val="24"/>
          <w:lang w:val="en-US" w:eastAsia="zh-CN"/>
        </w:rPr>
        <w:t>4</w:t>
      </w:r>
      <w:r>
        <w:rPr>
          <w:rFonts w:hint="eastAsia" w:ascii="仿宋" w:hAnsi="仿宋" w:eastAsia="仿宋" w:cs="仿宋"/>
          <w:sz w:val="24"/>
          <w:szCs w:val="24"/>
        </w:rPr>
        <w:fldChar w:fldCharType="end"/>
      </w:r>
    </w:p>
    <w:p w14:paraId="548B8476">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_Toc9011 </w:instrText>
      </w:r>
      <w:r>
        <w:rPr>
          <w:rFonts w:hint="eastAsia" w:ascii="仿宋" w:hAnsi="仿宋" w:eastAsia="仿宋" w:cs="仿宋"/>
          <w:sz w:val="24"/>
          <w:szCs w:val="24"/>
        </w:rPr>
        <w:fldChar w:fldCharType="separate"/>
      </w:r>
      <w:r>
        <w:rPr>
          <w:rFonts w:hint="eastAsia" w:ascii="仿宋" w:hAnsi="仿宋" w:eastAsia="仿宋" w:cs="仿宋"/>
          <w:bCs w:val="0"/>
          <w:sz w:val="24"/>
          <w:szCs w:val="24"/>
          <w:lang w:eastAsia="zh-CN"/>
        </w:rPr>
        <w:t>一、</w:t>
      </w:r>
      <w:r>
        <w:rPr>
          <w:rFonts w:hint="eastAsia" w:ascii="仿宋" w:hAnsi="仿宋" w:eastAsia="仿宋" w:cs="仿宋"/>
          <w:bCs w:val="0"/>
          <w:sz w:val="24"/>
          <w:szCs w:val="24"/>
          <w:highlight w:val="none"/>
          <w:lang w:eastAsia="zh-CN"/>
        </w:rPr>
        <w:t>主要职责</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sz w:val="24"/>
          <w:szCs w:val="24"/>
        </w:rPr>
        <w:fldChar w:fldCharType="end"/>
      </w:r>
    </w:p>
    <w:p w14:paraId="4F2816D1">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_Toc23743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lang w:val="en-US" w:eastAsia="zh-CN"/>
        </w:rPr>
        <w:t>二、机构设置</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sz w:val="24"/>
          <w:szCs w:val="24"/>
        </w:rPr>
        <w:fldChar w:fldCharType="end"/>
      </w:r>
    </w:p>
    <w:p w14:paraId="5E307EBF">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_Toc24221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 xml:space="preserve">第二部分 </w:t>
      </w:r>
      <w:r>
        <w:rPr>
          <w:rFonts w:hint="eastAsia" w:ascii="仿宋" w:hAnsi="仿宋" w:eastAsia="仿宋" w:cs="仿宋"/>
          <w:bCs/>
          <w:sz w:val="24"/>
          <w:szCs w:val="24"/>
          <w:highlight w:val="none"/>
          <w:lang w:val="en-US" w:eastAsia="zh-CN"/>
        </w:rPr>
        <w:t>2022年度</w:t>
      </w:r>
      <w:r>
        <w:rPr>
          <w:rFonts w:hint="eastAsia" w:ascii="仿宋" w:hAnsi="仿宋" w:eastAsia="仿宋" w:cs="仿宋"/>
          <w:bCs/>
          <w:sz w:val="24"/>
          <w:szCs w:val="24"/>
          <w:highlight w:val="none"/>
          <w:lang w:eastAsia="zh-CN"/>
        </w:rPr>
        <w:t>单位</w:t>
      </w:r>
      <w:r>
        <w:rPr>
          <w:rFonts w:hint="eastAsia" w:ascii="仿宋" w:hAnsi="仿宋" w:eastAsia="仿宋" w:cs="仿宋"/>
          <w:bCs/>
          <w:sz w:val="24"/>
          <w:szCs w:val="24"/>
          <w:highlight w:val="none"/>
        </w:rPr>
        <w:t>决算情况说明</w:t>
      </w:r>
      <w:r>
        <w:rPr>
          <w:rFonts w:hint="eastAsia" w:ascii="仿宋" w:hAnsi="仿宋" w:eastAsia="仿宋" w:cs="仿宋"/>
          <w:sz w:val="24"/>
          <w:szCs w:val="24"/>
        </w:rPr>
        <w:tab/>
      </w:r>
      <w:r>
        <w:rPr>
          <w:rFonts w:hint="eastAsia" w:cs="仿宋"/>
          <w:sz w:val="24"/>
          <w:szCs w:val="24"/>
          <w:lang w:val="en-US" w:eastAsia="zh-CN"/>
        </w:rPr>
        <w:t>5</w:t>
      </w:r>
      <w:r>
        <w:rPr>
          <w:rFonts w:hint="eastAsia" w:ascii="仿宋" w:hAnsi="仿宋" w:eastAsia="仿宋" w:cs="仿宋"/>
          <w:sz w:val="24"/>
          <w:szCs w:val="24"/>
        </w:rPr>
        <w:fldChar w:fldCharType="end"/>
      </w:r>
    </w:p>
    <w:p w14:paraId="7290DD66">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_Toc5166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一、 </w:t>
      </w:r>
      <w:r>
        <w:rPr>
          <w:rFonts w:hint="eastAsia" w:ascii="仿宋" w:hAnsi="仿宋" w:eastAsia="仿宋" w:cs="仿宋"/>
          <w:sz w:val="24"/>
          <w:szCs w:val="24"/>
          <w:highlight w:val="none"/>
        </w:rPr>
        <w:t>收入支出决算总体情况说明</w:t>
      </w:r>
      <w:r>
        <w:rPr>
          <w:rFonts w:hint="eastAsia" w:ascii="仿宋" w:hAnsi="仿宋" w:eastAsia="仿宋" w:cs="仿宋"/>
          <w:sz w:val="24"/>
          <w:szCs w:val="24"/>
        </w:rPr>
        <w:tab/>
      </w:r>
      <w:r>
        <w:rPr>
          <w:rFonts w:hint="eastAsia" w:ascii="仿宋" w:hAnsi="仿宋" w:eastAsia="仿宋" w:cs="仿宋"/>
          <w:sz w:val="24"/>
          <w:szCs w:val="24"/>
          <w:lang w:val="en-US" w:eastAsia="zh-CN"/>
        </w:rPr>
        <w:t>5</w:t>
      </w:r>
      <w:r>
        <w:rPr>
          <w:rFonts w:hint="eastAsia" w:ascii="仿宋" w:hAnsi="仿宋" w:eastAsia="仿宋" w:cs="仿宋"/>
          <w:sz w:val="24"/>
          <w:szCs w:val="24"/>
        </w:rPr>
        <w:fldChar w:fldCharType="end"/>
      </w:r>
    </w:p>
    <w:p w14:paraId="1E20D24C">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_Toc11758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二、 </w:t>
      </w:r>
      <w:r>
        <w:rPr>
          <w:rFonts w:hint="eastAsia" w:ascii="仿宋" w:hAnsi="仿宋" w:eastAsia="仿宋" w:cs="仿宋"/>
          <w:sz w:val="24"/>
          <w:szCs w:val="24"/>
          <w:highlight w:val="none"/>
        </w:rPr>
        <w:t>收入决算情况说明</w:t>
      </w:r>
      <w:r>
        <w:rPr>
          <w:rFonts w:hint="eastAsia" w:ascii="仿宋" w:hAnsi="仿宋" w:eastAsia="仿宋" w:cs="仿宋"/>
          <w:sz w:val="24"/>
          <w:szCs w:val="24"/>
        </w:rPr>
        <w:tab/>
      </w:r>
      <w:r>
        <w:rPr>
          <w:rFonts w:hint="eastAsia" w:ascii="仿宋" w:hAnsi="仿宋" w:eastAsia="仿宋" w:cs="仿宋"/>
          <w:sz w:val="24"/>
          <w:szCs w:val="24"/>
          <w:lang w:val="en-US" w:eastAsia="zh-CN"/>
        </w:rPr>
        <w:t>5</w:t>
      </w:r>
      <w:r>
        <w:rPr>
          <w:rFonts w:hint="eastAsia" w:ascii="仿宋" w:hAnsi="仿宋" w:eastAsia="仿宋" w:cs="仿宋"/>
          <w:sz w:val="24"/>
          <w:szCs w:val="24"/>
        </w:rPr>
        <w:fldChar w:fldCharType="end"/>
      </w:r>
    </w:p>
    <w:p w14:paraId="543C62F3">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_Toc5009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三、 </w:t>
      </w:r>
      <w:r>
        <w:rPr>
          <w:rFonts w:hint="eastAsia" w:ascii="仿宋" w:hAnsi="仿宋" w:eastAsia="仿宋" w:cs="仿宋"/>
          <w:sz w:val="24"/>
          <w:szCs w:val="24"/>
          <w:highlight w:val="none"/>
        </w:rPr>
        <w:t>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_Toc5009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49EE8AB">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_Toc18944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四、财政拨款收入支出决算总体情况说明</w:t>
      </w:r>
      <w:r>
        <w:rPr>
          <w:rFonts w:hint="eastAsia" w:ascii="仿宋" w:hAnsi="仿宋" w:eastAsia="仿宋" w:cs="仿宋"/>
          <w:sz w:val="24"/>
          <w:szCs w:val="24"/>
        </w:rPr>
        <w:tab/>
      </w:r>
      <w:r>
        <w:rPr>
          <w:rFonts w:hint="eastAsia" w:ascii="仿宋" w:hAnsi="仿宋" w:eastAsia="仿宋" w:cs="仿宋"/>
          <w:sz w:val="24"/>
          <w:szCs w:val="24"/>
          <w:lang w:val="en-US" w:eastAsia="zh-CN"/>
        </w:rPr>
        <w:t>6</w:t>
      </w:r>
      <w:r>
        <w:rPr>
          <w:rFonts w:hint="eastAsia" w:ascii="仿宋" w:hAnsi="仿宋" w:eastAsia="仿宋" w:cs="仿宋"/>
          <w:sz w:val="24"/>
          <w:szCs w:val="24"/>
        </w:rPr>
        <w:fldChar w:fldCharType="end"/>
      </w:r>
    </w:p>
    <w:p w14:paraId="00434469">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_Toc26764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五、一般公共预算财政拨款支出决算情况说明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_Toc26764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EC73B71">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_Toc2004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六、一般公共预算财政拨款基本支出决算情况说明</w:t>
      </w:r>
      <w:r>
        <w:rPr>
          <w:rFonts w:hint="eastAsia" w:ascii="仿宋" w:hAnsi="仿宋" w:eastAsia="仿宋" w:cs="仿宋"/>
          <w:sz w:val="24"/>
          <w:szCs w:val="24"/>
        </w:rPr>
        <w:tab/>
      </w:r>
      <w:r>
        <w:rPr>
          <w:rFonts w:hint="eastAsia" w:ascii="仿宋" w:hAnsi="仿宋" w:eastAsia="仿宋" w:cs="仿宋"/>
          <w:sz w:val="24"/>
          <w:szCs w:val="24"/>
          <w:lang w:val="en-US" w:eastAsia="zh-CN"/>
        </w:rPr>
        <w:t>7</w:t>
      </w:r>
      <w:r>
        <w:rPr>
          <w:rFonts w:hint="eastAsia" w:ascii="仿宋" w:hAnsi="仿宋" w:eastAsia="仿宋" w:cs="仿宋"/>
          <w:sz w:val="24"/>
          <w:szCs w:val="24"/>
        </w:rPr>
        <w:fldChar w:fldCharType="end"/>
      </w:r>
    </w:p>
    <w:p w14:paraId="0E63F356">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_Toc2857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七、财政拨款“三公”经费支出决算情况说明</w:t>
      </w:r>
      <w:r>
        <w:rPr>
          <w:rFonts w:hint="eastAsia" w:ascii="仿宋" w:hAnsi="仿宋" w:eastAsia="仿宋" w:cs="仿宋"/>
          <w:sz w:val="24"/>
          <w:szCs w:val="24"/>
        </w:rPr>
        <w:tab/>
      </w:r>
      <w:r>
        <w:rPr>
          <w:rFonts w:hint="eastAsia" w:ascii="仿宋" w:hAnsi="仿宋" w:eastAsia="仿宋" w:cs="仿宋"/>
          <w:sz w:val="24"/>
          <w:szCs w:val="24"/>
          <w:lang w:val="en-US" w:eastAsia="zh-CN"/>
        </w:rPr>
        <w:t>9</w:t>
      </w:r>
      <w:r>
        <w:rPr>
          <w:rFonts w:hint="eastAsia" w:ascii="仿宋" w:hAnsi="仿宋" w:eastAsia="仿宋" w:cs="仿宋"/>
          <w:sz w:val="24"/>
          <w:szCs w:val="24"/>
        </w:rPr>
        <w:fldChar w:fldCharType="end"/>
      </w:r>
    </w:p>
    <w:p w14:paraId="4D5F4CDC">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_Toc16199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八、政府性基金预算支出决算情况说明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_Toc16199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EFF7D54">
      <w:pPr>
        <w:pStyle w:val="15"/>
        <w:tabs>
          <w:tab w:val="right" w:leader="dot" w:pos="8306"/>
          <w:tab w:val="clear" w:pos="8296"/>
        </w:tabs>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_Toc19523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九、 </w:t>
      </w:r>
      <w:r>
        <w:rPr>
          <w:rFonts w:hint="eastAsia" w:ascii="仿宋" w:hAnsi="仿宋" w:eastAsia="仿宋" w:cs="仿宋"/>
          <w:sz w:val="24"/>
          <w:szCs w:val="24"/>
          <w:highlight w:val="none"/>
        </w:rPr>
        <w:t>国有资本经营预算支出决算情况说明</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2</w:t>
      </w:r>
    </w:p>
    <w:p w14:paraId="78F6E261">
      <w:pPr>
        <w:pStyle w:val="15"/>
        <w:tabs>
          <w:tab w:val="right" w:leader="dot" w:pos="8306"/>
          <w:tab w:val="clear" w:pos="8296"/>
        </w:tabs>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_Toc6204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十、 </w:t>
      </w:r>
      <w:r>
        <w:rPr>
          <w:rFonts w:hint="eastAsia" w:ascii="仿宋" w:hAnsi="仿宋" w:eastAsia="仿宋" w:cs="仿宋"/>
          <w:sz w:val="24"/>
          <w:szCs w:val="24"/>
          <w:highlight w:val="none"/>
        </w:rPr>
        <w:t>其他重要事项的情况说明</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2</w:t>
      </w:r>
    </w:p>
    <w:p w14:paraId="5EA1AB56">
      <w:pPr>
        <w:pStyle w:val="14"/>
        <w:tabs>
          <w:tab w:val="right" w:leader="dot" w:pos="8306"/>
          <w:tab w:val="clear" w:pos="8296"/>
        </w:tabs>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_Toc21691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第三部分 </w:t>
      </w:r>
      <w:r>
        <w:rPr>
          <w:rFonts w:hint="eastAsia" w:ascii="仿宋" w:hAnsi="仿宋" w:eastAsia="仿宋" w:cs="仿宋"/>
          <w:sz w:val="24"/>
          <w:szCs w:val="24"/>
          <w:highlight w:val="none"/>
        </w:rPr>
        <w:t>名词解释</w:t>
      </w:r>
      <w:r>
        <w:rPr>
          <w:rFonts w:hint="eastAsia" w:ascii="仿宋" w:hAnsi="仿宋" w:eastAsia="仿宋" w:cs="仿宋"/>
          <w:sz w:val="24"/>
          <w:szCs w:val="24"/>
        </w:rPr>
        <w:tab/>
      </w:r>
      <w:r>
        <w:rPr>
          <w:rFonts w:hint="eastAsia" w:cs="仿宋"/>
          <w:sz w:val="24"/>
          <w:szCs w:val="24"/>
          <w:lang w:val="en-US" w:eastAsia="zh-CN"/>
        </w:rPr>
        <w:t>1</w:t>
      </w:r>
      <w:r>
        <w:rPr>
          <w:rFonts w:hint="eastAsia" w:ascii="仿宋" w:hAnsi="仿宋" w:eastAsia="仿宋" w:cs="仿宋"/>
          <w:sz w:val="24"/>
          <w:szCs w:val="24"/>
        </w:rPr>
        <w:fldChar w:fldCharType="end"/>
      </w:r>
      <w:r>
        <w:rPr>
          <w:rFonts w:hint="eastAsia" w:cs="仿宋"/>
          <w:sz w:val="24"/>
          <w:szCs w:val="24"/>
          <w:lang w:val="en-US" w:eastAsia="zh-CN"/>
        </w:rPr>
        <w:t>4</w:t>
      </w:r>
    </w:p>
    <w:p w14:paraId="680A4D64">
      <w:pPr>
        <w:pStyle w:val="14"/>
        <w:tabs>
          <w:tab w:val="right" w:leader="dot" w:pos="8306"/>
          <w:tab w:val="clear" w:pos="8296"/>
        </w:tabs>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_Toc4718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第四部分 附件</w:t>
      </w:r>
      <w:r>
        <w:rPr>
          <w:rFonts w:hint="eastAsia" w:ascii="仿宋" w:hAnsi="仿宋" w:eastAsia="仿宋" w:cs="仿宋"/>
          <w:sz w:val="24"/>
          <w:szCs w:val="24"/>
        </w:rPr>
        <w:tab/>
      </w:r>
      <w:r>
        <w:rPr>
          <w:rFonts w:hint="eastAsia" w:cs="仿宋"/>
          <w:sz w:val="24"/>
          <w:szCs w:val="24"/>
          <w:lang w:val="en-US" w:eastAsia="zh-CN"/>
        </w:rPr>
        <w:t>1</w:t>
      </w:r>
      <w:r>
        <w:rPr>
          <w:rFonts w:hint="eastAsia" w:ascii="仿宋" w:hAnsi="仿宋" w:eastAsia="仿宋" w:cs="仿宋"/>
          <w:sz w:val="24"/>
          <w:szCs w:val="24"/>
        </w:rPr>
        <w:fldChar w:fldCharType="end"/>
      </w:r>
      <w:r>
        <w:rPr>
          <w:rFonts w:hint="eastAsia" w:cs="仿宋"/>
          <w:sz w:val="24"/>
          <w:szCs w:val="24"/>
          <w:lang w:val="en-US" w:eastAsia="zh-CN"/>
        </w:rPr>
        <w:t>7</w:t>
      </w:r>
    </w:p>
    <w:p w14:paraId="43CD982D">
      <w:pPr>
        <w:pStyle w:val="14"/>
        <w:tabs>
          <w:tab w:val="right" w:leader="dot" w:pos="8306"/>
          <w:tab w:val="clear" w:pos="8296"/>
        </w:tabs>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_Toc28412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第五部分 附表</w:t>
      </w:r>
      <w:r>
        <w:rPr>
          <w:rFonts w:hint="eastAsia" w:ascii="仿宋" w:hAnsi="仿宋" w:eastAsia="仿宋" w:cs="仿宋"/>
          <w:sz w:val="24"/>
          <w:szCs w:val="24"/>
        </w:rPr>
        <w:tab/>
      </w:r>
      <w:r>
        <w:rPr>
          <w:rFonts w:hint="eastAsia" w:cs="仿宋"/>
          <w:sz w:val="24"/>
          <w:szCs w:val="24"/>
          <w:lang w:val="en-US" w:eastAsia="zh-CN"/>
        </w:rPr>
        <w:t>2</w:t>
      </w:r>
      <w:r>
        <w:rPr>
          <w:rFonts w:hint="eastAsia" w:ascii="仿宋" w:hAnsi="仿宋" w:eastAsia="仿宋" w:cs="仿宋"/>
          <w:sz w:val="24"/>
          <w:szCs w:val="24"/>
        </w:rPr>
        <w:fldChar w:fldCharType="end"/>
      </w:r>
      <w:r>
        <w:rPr>
          <w:rFonts w:hint="eastAsia" w:cs="仿宋"/>
          <w:sz w:val="24"/>
          <w:szCs w:val="24"/>
          <w:lang w:val="en-US" w:eastAsia="zh-CN"/>
        </w:rPr>
        <w:t>4</w:t>
      </w:r>
    </w:p>
    <w:p w14:paraId="1F049754">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_Toc3014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一、收</w:t>
      </w:r>
      <w:r>
        <w:rPr>
          <w:rFonts w:hint="eastAsia" w:ascii="仿宋" w:hAnsi="仿宋" w:eastAsia="仿宋" w:cs="仿宋"/>
          <w:bCs w:val="0"/>
          <w:sz w:val="24"/>
          <w:szCs w:val="24"/>
          <w:highlight w:val="none"/>
        </w:rPr>
        <w:t>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_Toc3014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B3D65A7">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_Toc1444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二、收</w:t>
      </w:r>
      <w:r>
        <w:rPr>
          <w:rFonts w:hint="eastAsia" w:ascii="仿宋" w:hAnsi="仿宋" w:eastAsia="仿宋" w:cs="仿宋"/>
          <w:bCs w:val="0"/>
          <w:sz w:val="24"/>
          <w:szCs w:val="24"/>
          <w:highlight w:val="none"/>
        </w:rPr>
        <w:t>入决算表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_Toc1444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AB036CF">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_Toc16650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三、</w:t>
      </w:r>
      <w:r>
        <w:rPr>
          <w:rFonts w:hint="eastAsia" w:ascii="仿宋" w:hAnsi="仿宋" w:eastAsia="仿宋" w:cs="仿宋"/>
          <w:sz w:val="24"/>
          <w:szCs w:val="24"/>
          <w:highlight w:val="none"/>
        </w:rPr>
        <w:t>支</w:t>
      </w:r>
      <w:r>
        <w:rPr>
          <w:rFonts w:hint="eastAsia" w:ascii="仿宋" w:hAnsi="仿宋" w:eastAsia="仿宋" w:cs="仿宋"/>
          <w:bCs w:val="0"/>
          <w:sz w:val="24"/>
          <w:szCs w:val="24"/>
          <w:highlight w:val="none"/>
        </w:rPr>
        <w:t>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_Toc16650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9F5E6F0">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_Toc1735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四、</w:t>
      </w:r>
      <w:r>
        <w:rPr>
          <w:rFonts w:hint="eastAsia" w:ascii="仿宋" w:hAnsi="仿宋" w:eastAsia="仿宋" w:cs="仿宋"/>
          <w:sz w:val="24"/>
          <w:szCs w:val="24"/>
          <w:highlight w:val="none"/>
        </w:rPr>
        <w:t>财</w:t>
      </w:r>
      <w:r>
        <w:rPr>
          <w:rFonts w:hint="eastAsia" w:ascii="仿宋" w:hAnsi="仿宋" w:eastAsia="仿宋" w:cs="仿宋"/>
          <w:bCs w:val="0"/>
          <w:sz w:val="24"/>
          <w:szCs w:val="24"/>
          <w:highlight w:val="none"/>
        </w:rPr>
        <w:t>政拨款收入支出决算总表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_Toc1735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43F23D3">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_Toc13552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五、</w:t>
      </w:r>
      <w:r>
        <w:rPr>
          <w:rFonts w:hint="eastAsia" w:ascii="仿宋" w:hAnsi="仿宋" w:eastAsia="仿宋" w:cs="仿宋"/>
          <w:sz w:val="24"/>
          <w:szCs w:val="24"/>
          <w:highlight w:val="none"/>
        </w:rPr>
        <w:t>财</w:t>
      </w:r>
      <w:r>
        <w:rPr>
          <w:rFonts w:hint="eastAsia" w:ascii="仿宋" w:hAnsi="仿宋" w:eastAsia="仿宋" w:cs="仿宋"/>
          <w:bCs w:val="0"/>
          <w:sz w:val="24"/>
          <w:szCs w:val="24"/>
          <w:highlight w:val="none"/>
        </w:rPr>
        <w:t>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_Toc13552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012196D">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_Toc14024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六、</w:t>
      </w:r>
      <w:r>
        <w:rPr>
          <w:rFonts w:hint="eastAsia" w:ascii="仿宋" w:hAnsi="仿宋" w:eastAsia="仿宋" w:cs="仿宋"/>
          <w:sz w:val="24"/>
          <w:szCs w:val="24"/>
          <w:highlight w:val="none"/>
        </w:rPr>
        <w:t>一</w:t>
      </w:r>
      <w:r>
        <w:rPr>
          <w:rFonts w:hint="eastAsia" w:ascii="仿宋" w:hAnsi="仿宋" w:eastAsia="仿宋" w:cs="仿宋"/>
          <w:bCs w:val="0"/>
          <w:sz w:val="24"/>
          <w:szCs w:val="24"/>
          <w:highlight w:val="none"/>
        </w:rPr>
        <w:t>般公共预算财政拨款支出决算表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_Toc14024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4D34AB0">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_Toc11518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七、</w:t>
      </w:r>
      <w:r>
        <w:rPr>
          <w:rFonts w:hint="eastAsia" w:ascii="仿宋" w:hAnsi="仿宋" w:eastAsia="仿宋" w:cs="仿宋"/>
          <w:sz w:val="24"/>
          <w:szCs w:val="24"/>
          <w:highlight w:val="none"/>
        </w:rPr>
        <w:t>一</w:t>
      </w:r>
      <w:r>
        <w:rPr>
          <w:rFonts w:hint="eastAsia" w:ascii="仿宋" w:hAnsi="仿宋" w:eastAsia="仿宋" w:cs="仿宋"/>
          <w:bCs w:val="0"/>
          <w:sz w:val="24"/>
          <w:szCs w:val="24"/>
          <w:highlight w:val="none"/>
        </w:rPr>
        <w:t>般公共预算财政拨款支出决算明细表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_Toc11518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3E8C42D">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_Toc13582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八、</w:t>
      </w:r>
      <w:r>
        <w:rPr>
          <w:rFonts w:hint="eastAsia" w:ascii="仿宋" w:hAnsi="仿宋" w:eastAsia="仿宋" w:cs="仿宋"/>
          <w:sz w:val="24"/>
          <w:szCs w:val="24"/>
          <w:highlight w:val="none"/>
        </w:rPr>
        <w:t>一</w:t>
      </w:r>
      <w:r>
        <w:rPr>
          <w:rFonts w:hint="eastAsia" w:ascii="仿宋" w:hAnsi="仿宋" w:eastAsia="仿宋" w:cs="仿宋"/>
          <w:bCs w:val="0"/>
          <w:sz w:val="24"/>
          <w:szCs w:val="24"/>
          <w:highlight w:val="none"/>
        </w:rPr>
        <w:t>般公共预算财政拨款基本支出决算表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_Toc13582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DEA7DA8">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_Toc755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九、</w:t>
      </w:r>
      <w:r>
        <w:rPr>
          <w:rFonts w:hint="eastAsia" w:ascii="仿宋" w:hAnsi="仿宋" w:eastAsia="仿宋" w:cs="仿宋"/>
          <w:sz w:val="24"/>
          <w:szCs w:val="24"/>
          <w:highlight w:val="none"/>
        </w:rPr>
        <w:t>一</w:t>
      </w:r>
      <w:r>
        <w:rPr>
          <w:rFonts w:hint="eastAsia" w:ascii="仿宋" w:hAnsi="仿宋" w:eastAsia="仿宋" w:cs="仿宋"/>
          <w:bCs w:val="0"/>
          <w:sz w:val="24"/>
          <w:szCs w:val="24"/>
          <w:highlight w:val="none"/>
        </w:rPr>
        <w:t>般公共预算财政拨款项目支出决算表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_Toc755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07163D2">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_Toc13430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十、</w:t>
      </w:r>
      <w:r>
        <w:rPr>
          <w:rFonts w:hint="eastAsia" w:ascii="仿宋" w:hAnsi="仿宋" w:eastAsia="仿宋" w:cs="仿宋"/>
          <w:sz w:val="24"/>
          <w:szCs w:val="24"/>
          <w:highlight w:val="none"/>
        </w:rPr>
        <w:t>政</w:t>
      </w:r>
      <w:r>
        <w:rPr>
          <w:rFonts w:hint="eastAsia" w:ascii="仿宋" w:hAnsi="仿宋" w:eastAsia="仿宋" w:cs="仿宋"/>
          <w:bCs w:val="0"/>
          <w:sz w:val="24"/>
          <w:szCs w:val="24"/>
          <w:highlight w:val="none"/>
        </w:rPr>
        <w:t>府性基金预算财政拨款收入支出决算表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_Toc13430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D62D9A0">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_Toc9734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十一、</w:t>
      </w:r>
      <w:r>
        <w:rPr>
          <w:rFonts w:hint="eastAsia" w:ascii="仿宋" w:hAnsi="仿宋" w:eastAsia="仿宋" w:cs="仿宋"/>
          <w:sz w:val="24"/>
          <w:szCs w:val="24"/>
          <w:highlight w:val="none"/>
        </w:rPr>
        <w:t>国</w:t>
      </w:r>
      <w:r>
        <w:rPr>
          <w:rFonts w:hint="eastAsia" w:ascii="仿宋" w:hAnsi="仿宋" w:eastAsia="仿宋" w:cs="仿宋"/>
          <w:bCs w:val="0"/>
          <w:sz w:val="24"/>
          <w:szCs w:val="24"/>
          <w:highlight w:val="none"/>
        </w:rPr>
        <w:t>有资本经营预算</w:t>
      </w:r>
      <w:r>
        <w:rPr>
          <w:rFonts w:hint="eastAsia" w:ascii="仿宋" w:hAnsi="仿宋" w:eastAsia="仿宋" w:cs="仿宋"/>
          <w:bCs w:val="0"/>
          <w:sz w:val="24"/>
          <w:szCs w:val="24"/>
          <w:highlight w:val="none"/>
          <w:lang w:eastAsia="zh-CN"/>
        </w:rPr>
        <w:t>财政拨款收入</w:t>
      </w:r>
      <w:r>
        <w:rPr>
          <w:rFonts w:hint="eastAsia" w:ascii="仿宋" w:hAnsi="仿宋" w:eastAsia="仿宋" w:cs="仿宋"/>
          <w:bCs w:val="0"/>
          <w:sz w:val="24"/>
          <w:szCs w:val="24"/>
          <w:highlight w:val="none"/>
        </w:rPr>
        <w:t>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_Toc9734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B57A9DA">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_Toc30715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十二、</w:t>
      </w:r>
      <w:r>
        <w:rPr>
          <w:rFonts w:hint="eastAsia" w:ascii="仿宋" w:hAnsi="仿宋" w:eastAsia="仿宋" w:cs="仿宋"/>
          <w:bCs w:val="0"/>
          <w:sz w:val="24"/>
          <w:szCs w:val="24"/>
          <w:highlight w:val="none"/>
          <w:lang w:eastAsia="zh-CN"/>
        </w:rPr>
        <w:t>国有资本经营预算财政拨款支出决算表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_Toc30715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5D25988">
      <w:pPr>
        <w:pStyle w:val="15"/>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_Toc9056 </w:instrText>
      </w:r>
      <w:r>
        <w:rPr>
          <w:rFonts w:hint="eastAsia" w:ascii="仿宋" w:hAnsi="仿宋" w:eastAsia="仿宋" w:cs="仿宋"/>
          <w:sz w:val="24"/>
          <w:szCs w:val="24"/>
        </w:rPr>
        <w:fldChar w:fldCharType="separate"/>
      </w:r>
      <w:r>
        <w:rPr>
          <w:rFonts w:hint="eastAsia" w:ascii="仿宋" w:hAnsi="仿宋" w:eastAsia="仿宋" w:cs="仿宋"/>
          <w:bCs w:val="0"/>
          <w:sz w:val="24"/>
          <w:szCs w:val="24"/>
          <w:highlight w:val="none"/>
        </w:rPr>
        <w:t>十三、</w:t>
      </w:r>
      <w:r>
        <w:rPr>
          <w:rFonts w:hint="eastAsia" w:ascii="仿宋" w:hAnsi="仿宋" w:eastAsia="仿宋" w:cs="仿宋"/>
          <w:bCs w:val="0"/>
          <w:sz w:val="24"/>
          <w:szCs w:val="24"/>
          <w:highlight w:val="none"/>
          <w:lang w:eastAsia="zh-CN"/>
        </w:rPr>
        <w:t>财政拨款“三公”经费支出决算表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_Toc9056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BC56990">
      <w:pPr>
        <w:rPr>
          <w:rFonts w:hint="eastAsia" w:ascii="仿宋" w:hAnsi="仿宋" w:eastAsia="仿宋" w:cs="仿宋"/>
          <w:sz w:val="28"/>
          <w:szCs w:val="28"/>
        </w:rPr>
      </w:pPr>
      <w:r>
        <w:rPr>
          <w:rFonts w:hint="eastAsia" w:ascii="仿宋" w:hAnsi="仿宋" w:eastAsia="仿宋" w:cs="仿宋"/>
          <w:sz w:val="28"/>
          <w:szCs w:val="28"/>
        </w:rPr>
        <w:fldChar w:fldCharType="end"/>
      </w:r>
    </w:p>
    <w:p w14:paraId="39092A21">
      <w:pPr>
        <w:widowControl/>
        <w:spacing w:line="440" w:lineRule="exact"/>
        <w:jc w:val="left"/>
        <w:rPr>
          <w:rFonts w:ascii="仿宋" w:hAnsi="仿宋" w:eastAsia="仿宋"/>
          <w:bCs/>
          <w:color w:val="auto"/>
          <w:kern w:val="44"/>
          <w:sz w:val="24"/>
          <w:highlight w:val="none"/>
        </w:rPr>
      </w:pPr>
      <w:bookmarkStart w:id="20" w:name="_Toc15377196"/>
      <w:bookmarkStart w:id="21" w:name="_Toc15396599"/>
      <w:r>
        <w:rPr>
          <w:rFonts w:ascii="仿宋" w:hAnsi="仿宋" w:eastAsia="仿宋"/>
          <w:b/>
          <w:color w:val="auto"/>
          <w:sz w:val="24"/>
          <w:highlight w:val="none"/>
        </w:rPr>
        <w:br w:type="page"/>
      </w:r>
    </w:p>
    <w:p w14:paraId="6D38FC57">
      <w:pPr>
        <w:pStyle w:val="5"/>
        <w:jc w:val="center"/>
        <w:rPr>
          <w:rFonts w:ascii="黑体" w:eastAsia="黑体"/>
          <w:color w:val="auto"/>
          <w:sz w:val="32"/>
          <w:szCs w:val="32"/>
          <w:highlight w:val="none"/>
        </w:rPr>
      </w:pPr>
      <w:bookmarkStart w:id="22" w:name="_Toc6813"/>
      <w:bookmarkStart w:id="23" w:name="_Toc16991"/>
      <w:bookmarkStart w:id="24" w:name="_Toc30813"/>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9"/>
          <w:rFonts w:hint="eastAsia" w:ascii="黑体" w:hAnsi="黑体" w:eastAsia="黑体"/>
          <w:b w:val="0"/>
          <w:bCs w:val="0"/>
          <w:color w:val="auto"/>
          <w:highlight w:val="none"/>
        </w:rPr>
        <w:t>概况</w:t>
      </w:r>
      <w:bookmarkEnd w:id="20"/>
      <w:bookmarkEnd w:id="21"/>
      <w:bookmarkEnd w:id="22"/>
      <w:bookmarkEnd w:id="23"/>
      <w:bookmarkEnd w:id="24"/>
    </w:p>
    <w:p w14:paraId="505616AD">
      <w:pPr>
        <w:pStyle w:val="28"/>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1"/>
        <w:rPr>
          <w:rFonts w:hint="eastAsia" w:ascii="黑体" w:hAnsi="黑体" w:eastAsia="黑体"/>
          <w:color w:val="auto"/>
          <w:sz w:val="32"/>
          <w:szCs w:val="32"/>
          <w:highlight w:val="none"/>
          <w:lang w:val="en-US" w:eastAsia="zh-CN"/>
        </w:rPr>
      </w:pPr>
      <w:bookmarkStart w:id="25" w:name="_Toc30762"/>
      <w:bookmarkStart w:id="26" w:name="_Toc16713"/>
      <w:bookmarkStart w:id="27" w:name="_Toc9011"/>
      <w:bookmarkStart w:id="28" w:name="_Toc15396600"/>
      <w:bookmarkStart w:id="29" w:name="_Toc15377197"/>
      <w:r>
        <w:rPr>
          <w:rFonts w:hint="eastAsia" w:ascii="黑体" w:hAnsi="黑体" w:eastAsia="黑体"/>
          <w:color w:val="auto"/>
          <w:sz w:val="32"/>
          <w:szCs w:val="32"/>
          <w:highlight w:val="none"/>
          <w:lang w:val="en-US" w:eastAsia="zh-CN"/>
        </w:rPr>
        <w:t>一、主要职责</w:t>
      </w:r>
      <w:bookmarkEnd w:id="25"/>
      <w:bookmarkEnd w:id="26"/>
      <w:bookmarkEnd w:id="27"/>
    </w:p>
    <w:p w14:paraId="4C8D93C4">
      <w:pPr>
        <w:pStyle w:val="9"/>
        <w:keepNext w:val="0"/>
        <w:keepLines w:val="0"/>
        <w:pageBreakBefore w:val="0"/>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遂宁市疾病预防控制中心成立于</w:t>
      </w:r>
      <w:r>
        <w:rPr>
          <w:rFonts w:hint="default" w:ascii="Times New Roman" w:hAnsi="Times New Roman" w:eastAsia="仿宋_GB2312" w:cs="Times New Roman"/>
          <w:sz w:val="32"/>
          <w:szCs w:val="32"/>
        </w:rPr>
        <w:t>2003</w:t>
      </w:r>
      <w:r>
        <w:rPr>
          <w:rFonts w:hint="eastAsia" w:ascii="仿宋_GB2312" w:hAnsi="仿宋_GB2312" w:eastAsia="仿宋_GB2312" w:cs="仿宋_GB2312"/>
          <w:sz w:val="32"/>
          <w:szCs w:val="32"/>
        </w:rPr>
        <w:t>年，是遂宁市人民政府举办的实施疾病控制与公共卫生技术管理和服务的公益一类事业单位。</w:t>
      </w:r>
      <w:r>
        <w:rPr>
          <w:rFonts w:hint="eastAsia" w:ascii="仿宋_GB2312" w:hAnsi="仿宋_GB2312" w:eastAsia="仿宋_GB2312" w:cs="仿宋_GB2312"/>
          <w:bCs/>
          <w:color w:val="000000"/>
          <w:sz w:val="32"/>
          <w:szCs w:val="32"/>
        </w:rPr>
        <w:t>主要职责包括传染病、寄生虫病、地方病、非传染性疾病等预防与控制；突发公共卫生事件和灾害疫情应急处置；疫情及健康相关因素信息管理，开展疾病监测，收集、报告、分析和评价疾病与健康危害因素等公共卫生信息；健康危害因素监测与干预，开展食源性、职业性、放射性、环境性等疾病的监测评价和流行病学调查，开展公众健康和营养状况监测与评价，提出干预策略与措施；疾病病原生物检测、鉴定和物理、化学因子检测、评价；以及其他疾病预防控制工作。</w:t>
      </w:r>
    </w:p>
    <w:p w14:paraId="004326FF">
      <w:pPr>
        <w:pStyle w:val="28"/>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黑体" w:hAnsi="黑体" w:eastAsia="黑体"/>
          <w:color w:val="auto"/>
          <w:sz w:val="32"/>
          <w:szCs w:val="32"/>
          <w:highlight w:val="none"/>
          <w:lang w:val="en-US" w:eastAsia="zh-CN"/>
        </w:rPr>
      </w:pPr>
      <w:bookmarkStart w:id="30" w:name="_Toc23743"/>
      <w:bookmarkStart w:id="31" w:name="_Toc16935"/>
      <w:bookmarkStart w:id="32" w:name="_Toc4041"/>
      <w:r>
        <w:rPr>
          <w:rFonts w:hint="eastAsia" w:ascii="黑体" w:hAnsi="黑体" w:eastAsia="黑体"/>
          <w:color w:val="auto"/>
          <w:sz w:val="32"/>
          <w:szCs w:val="32"/>
          <w:highlight w:val="none"/>
          <w:lang w:val="en-US" w:eastAsia="zh-CN"/>
        </w:rPr>
        <w:t>二、机构设置</w:t>
      </w:r>
      <w:bookmarkEnd w:id="30"/>
      <w:bookmarkEnd w:id="31"/>
      <w:bookmarkEnd w:id="32"/>
    </w:p>
    <w:bookmarkEnd w:id="28"/>
    <w:bookmarkEnd w:id="29"/>
    <w:p w14:paraId="1D7CDC3A">
      <w:pPr>
        <w:keepNext w:val="0"/>
        <w:keepLines w:val="0"/>
        <w:pageBreakBefore w:val="0"/>
        <w:widowControl/>
        <w:kinsoku/>
        <w:wordWrap/>
        <w:overflowPunct/>
        <w:topLinePunct w:val="0"/>
        <w:autoSpaceDE/>
        <w:autoSpaceDN/>
        <w:bidi w:val="0"/>
        <w:spacing w:line="600" w:lineRule="exact"/>
        <w:jc w:val="left"/>
        <w:textAlignment w:val="auto"/>
        <w:rPr>
          <w:rFonts w:ascii="仿宋" w:hAnsi="仿宋" w:eastAsia="仿宋"/>
          <w:color w:val="auto"/>
          <w:kern w:val="0"/>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_GB2312" w:hAnsi="仿宋_GB2312" w:eastAsia="仿宋_GB2312" w:cs="仿宋_GB2312"/>
          <w:sz w:val="32"/>
          <w:szCs w:val="32"/>
        </w:rPr>
        <w:t>遂宁市疾病预防控制中心</w:t>
      </w:r>
      <w:r>
        <w:rPr>
          <w:rFonts w:hint="eastAsia" w:ascii="仿宋_GB2312" w:hAnsi="仿宋_GB2312" w:eastAsia="仿宋_GB2312" w:cs="仿宋_GB2312"/>
          <w:sz w:val="32"/>
          <w:szCs w:val="32"/>
          <w:lang w:eastAsia="zh-CN"/>
        </w:rPr>
        <w:t>包含十五个内设机构：办公室、党务办公室、财务科、业务与质量管理科、免疫规划科、急性传染病防治科、性病艾滋病防治科、结核病与地方病防治科、慢性病防治科、公共卫生科、职业与辐射卫生科、理化检验科、微生物检验科、健康教育与信息科、基本公共卫生服务科。</w:t>
      </w:r>
      <w:r>
        <w:rPr>
          <w:rFonts w:ascii="仿宋" w:hAnsi="仿宋" w:eastAsia="仿宋"/>
          <w:color w:val="auto"/>
          <w:sz w:val="32"/>
          <w:szCs w:val="32"/>
          <w:highlight w:val="none"/>
        </w:rPr>
        <w:br w:type="page"/>
      </w:r>
    </w:p>
    <w:p w14:paraId="1B8005D7">
      <w:pPr>
        <w:pStyle w:val="5"/>
        <w:ind w:right="440"/>
        <w:jc w:val="center"/>
        <w:rPr>
          <w:color w:val="auto"/>
          <w:highlight w:val="none"/>
        </w:rPr>
      </w:pPr>
      <w:bookmarkStart w:id="33" w:name="_Toc15396602"/>
      <w:bookmarkStart w:id="34" w:name="_Toc24221"/>
      <w:bookmarkStart w:id="35" w:name="_Toc15377204"/>
      <w:bookmarkStart w:id="36" w:name="_Toc31237"/>
      <w:bookmarkStart w:id="37" w:name="_Toc28716"/>
      <w:r>
        <w:rPr>
          <w:rFonts w:hint="eastAsia" w:ascii="黑体" w:hAnsi="黑体" w:eastAsia="黑体"/>
          <w:b w:val="0"/>
          <w:bCs/>
          <w:color w:val="auto"/>
          <w:highlight w:val="none"/>
        </w:rPr>
        <w:t xml:space="preserve">第二部分 </w:t>
      </w:r>
      <w:r>
        <w:rPr>
          <w:rFonts w:hint="default" w:ascii="Times New Roman" w:hAnsi="Times New Roman" w:eastAsia="黑体" w:cs="Times New Roman"/>
          <w:b w:val="0"/>
          <w:bCs/>
          <w:color w:val="auto"/>
          <w:highlight w:val="none"/>
          <w:lang w:val="en-US" w:eastAsia="zh-CN"/>
        </w:rPr>
        <w:t>2024</w:t>
      </w:r>
      <w:r>
        <w:rPr>
          <w:rFonts w:hint="eastAsia" w:ascii="黑体" w:hAnsi="黑体" w:eastAsia="黑体"/>
          <w:b w:val="0"/>
          <w:bCs/>
          <w:color w:val="auto"/>
          <w:highlight w:val="none"/>
          <w:lang w:val="en-US" w:eastAsia="zh-CN"/>
        </w:rPr>
        <w:t>年度</w:t>
      </w:r>
      <w:r>
        <w:rPr>
          <w:rStyle w:val="29"/>
          <w:rFonts w:hint="eastAsia" w:ascii="黑体" w:hAnsi="黑体" w:eastAsia="黑体"/>
          <w:b w:val="0"/>
          <w:bCs/>
          <w:color w:val="auto"/>
          <w:highlight w:val="none"/>
          <w:lang w:eastAsia="zh-CN"/>
        </w:rPr>
        <w:t>单位</w:t>
      </w:r>
      <w:r>
        <w:rPr>
          <w:rStyle w:val="29"/>
          <w:rFonts w:hint="eastAsia" w:ascii="黑体" w:hAnsi="黑体" w:eastAsia="黑体"/>
          <w:b w:val="0"/>
          <w:bCs/>
          <w:color w:val="auto"/>
          <w:highlight w:val="none"/>
        </w:rPr>
        <w:t>决算情况说明</w:t>
      </w:r>
      <w:bookmarkEnd w:id="33"/>
      <w:bookmarkEnd w:id="34"/>
      <w:bookmarkEnd w:id="35"/>
      <w:bookmarkEnd w:id="36"/>
      <w:bookmarkEnd w:id="37"/>
    </w:p>
    <w:p w14:paraId="695C955A">
      <w:pPr>
        <w:pStyle w:val="28"/>
        <w:numPr>
          <w:ilvl w:val="0"/>
          <w:numId w:val="1"/>
        </w:numPr>
        <w:spacing w:line="600" w:lineRule="exact"/>
        <w:ind w:firstLineChars="0"/>
        <w:outlineLvl w:val="1"/>
        <w:rPr>
          <w:rStyle w:val="30"/>
          <w:rFonts w:ascii="黑体" w:hAnsi="黑体" w:eastAsia="黑体"/>
          <w:b w:val="0"/>
          <w:color w:val="auto"/>
          <w:highlight w:val="none"/>
        </w:rPr>
      </w:pPr>
      <w:bookmarkStart w:id="38" w:name="_Toc15377205"/>
      <w:bookmarkStart w:id="39" w:name="_Toc15396603"/>
      <w:bookmarkStart w:id="40" w:name="_Toc1399"/>
      <w:bookmarkStart w:id="41" w:name="_Toc5166"/>
      <w:bookmarkStart w:id="42" w:name="_Toc6133"/>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38"/>
      <w:bookmarkEnd w:id="39"/>
      <w:bookmarkEnd w:id="40"/>
      <w:bookmarkEnd w:id="41"/>
      <w:bookmarkEnd w:id="42"/>
    </w:p>
    <w:p w14:paraId="39C4AC6B">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eastAsia="zh-CN"/>
        </w:rPr>
        <w:t>均为</w:t>
      </w:r>
      <w:r>
        <w:rPr>
          <w:rFonts w:hint="default" w:ascii="Times New Roman" w:hAnsi="Times New Roman" w:eastAsia="仿宋_GB2312" w:cs="Times New Roman"/>
          <w:color w:val="auto"/>
          <w:sz w:val="32"/>
          <w:szCs w:val="32"/>
          <w:highlight w:val="none"/>
          <w:lang w:val="en-US" w:eastAsia="zh-CN"/>
        </w:rPr>
        <w:t>3,332.38</w:t>
      </w:r>
      <w:r>
        <w:rPr>
          <w:rFonts w:hint="eastAsia" w:ascii="仿宋_GB2312" w:hAnsi="仿宋_GB2312" w:eastAsia="仿宋_GB2312" w:cs="仿宋_GB2312"/>
          <w:color w:val="auto"/>
          <w:sz w:val="32"/>
          <w:szCs w:val="32"/>
          <w:highlight w:val="none"/>
        </w:rPr>
        <w:t>万元。与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年相比，</w:t>
      </w:r>
      <w:r>
        <w:rPr>
          <w:rFonts w:hint="eastAsia" w:ascii="仿宋_GB2312" w:hAnsi="仿宋_GB2312" w:eastAsia="仿宋_GB2312" w:cs="仿宋_GB2312"/>
          <w:color w:val="000000"/>
          <w:sz w:val="32"/>
          <w:szCs w:val="32"/>
        </w:rPr>
        <w:t>收、支总计</w:t>
      </w:r>
      <w:r>
        <w:rPr>
          <w:rFonts w:hint="eastAsia" w:ascii="仿宋_GB2312" w:hAnsi="仿宋_GB2312" w:eastAsia="仿宋_GB2312" w:cs="仿宋_GB2312"/>
          <w:color w:val="000000"/>
          <w:sz w:val="32"/>
          <w:szCs w:val="32"/>
          <w:lang w:eastAsia="zh-CN"/>
        </w:rPr>
        <w:t>各减少</w:t>
      </w:r>
      <w:r>
        <w:rPr>
          <w:rFonts w:hint="eastAsia" w:ascii="仿宋_GB2312" w:hAnsi="仿宋_GB2312" w:eastAsia="仿宋_GB2312" w:cs="仿宋_GB2312"/>
          <w:color w:val="000000"/>
          <w:sz w:val="32"/>
          <w:szCs w:val="32"/>
        </w:rPr>
        <w:t>了</w:t>
      </w:r>
      <w:r>
        <w:rPr>
          <w:rFonts w:hint="default" w:ascii="Times New Roman" w:hAnsi="Times New Roman" w:eastAsia="仿宋_GB2312" w:cs="Times New Roman"/>
          <w:color w:val="000000"/>
          <w:sz w:val="32"/>
          <w:szCs w:val="32"/>
          <w:lang w:val="en-US" w:eastAsia="zh-CN"/>
        </w:rPr>
        <w:t>2,283.20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同比减少</w:t>
      </w:r>
      <w:r>
        <w:rPr>
          <w:rFonts w:hint="default" w:ascii="Times New Roman" w:hAnsi="Times New Roman" w:eastAsia="仿宋_GB2312" w:cs="Times New Roman"/>
          <w:color w:val="000000"/>
          <w:sz w:val="32"/>
          <w:szCs w:val="32"/>
          <w:lang w:val="en-US" w:eastAsia="zh-CN"/>
        </w:rPr>
        <w:t>40.66%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基础建设项目收、支减少。</w:t>
      </w:r>
    </w:p>
    <w:p w14:paraId="0EB6FCAF">
      <w:pPr>
        <w:pStyle w:val="9"/>
        <w:rPr>
          <w:rFonts w:hint="eastAsia"/>
          <w:lang w:eastAsia="zh-CN"/>
        </w:rPr>
      </w:pPr>
      <w:r>
        <w:rPr>
          <w:rFonts w:hint="eastAsia"/>
        </w:rPr>
        <w:drawing>
          <wp:inline distT="0" distB="0" distL="0" distR="0">
            <wp:extent cx="5200650" cy="2232660"/>
            <wp:effectExtent l="4445" t="4445" r="14605" b="1079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A0701A2">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34BD8956">
      <w:pPr>
        <w:pStyle w:val="28"/>
        <w:numPr>
          <w:ilvl w:val="0"/>
          <w:numId w:val="1"/>
        </w:numPr>
        <w:spacing w:line="600" w:lineRule="exact"/>
        <w:ind w:firstLineChars="0"/>
        <w:outlineLvl w:val="1"/>
        <w:rPr>
          <w:rStyle w:val="30"/>
          <w:rFonts w:ascii="黑体" w:hAnsi="黑体" w:eastAsia="黑体"/>
          <w:b w:val="0"/>
          <w:color w:val="auto"/>
          <w:highlight w:val="none"/>
        </w:rPr>
      </w:pPr>
      <w:bookmarkStart w:id="43" w:name="_Toc1"/>
      <w:bookmarkStart w:id="44" w:name="_Toc11359"/>
      <w:bookmarkStart w:id="45" w:name="_Toc11758"/>
      <w:bookmarkStart w:id="46" w:name="_Toc15377206"/>
      <w:bookmarkStart w:id="47" w:name="_Toc15396604"/>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43"/>
      <w:bookmarkEnd w:id="44"/>
      <w:bookmarkEnd w:id="45"/>
      <w:bookmarkEnd w:id="46"/>
      <w:bookmarkEnd w:id="47"/>
    </w:p>
    <w:p w14:paraId="3306F616">
      <w:pPr>
        <w:spacing w:line="600" w:lineRule="exact"/>
        <w:ind w:firstLine="640" w:firstLineChars="200"/>
        <w:outlineLvl w:val="1"/>
        <w:rPr>
          <w:rFonts w:hint="eastAsia" w:ascii="仿宋_GB2312" w:hAnsi="仿宋_GB2312" w:eastAsia="仿宋_GB2312" w:cs="仿宋_GB2312"/>
          <w:color w:val="auto"/>
          <w:sz w:val="32"/>
          <w:szCs w:val="32"/>
          <w:highlight w:val="none"/>
        </w:rPr>
      </w:pPr>
      <w:bookmarkStart w:id="48" w:name="_Toc1106"/>
      <w:bookmarkStart w:id="49" w:name="_Toc2776"/>
      <w:bookmarkStart w:id="50" w:name="_Toc11658"/>
      <w:bookmarkStart w:id="51" w:name="_Toc9439"/>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年本年收入合计</w:t>
      </w:r>
      <w:r>
        <w:rPr>
          <w:rFonts w:hint="eastAsia" w:ascii="Times New Roman" w:hAnsi="Times New Roman" w:eastAsia="仿宋_GB2312" w:cs="Times New Roman"/>
          <w:color w:val="auto"/>
          <w:sz w:val="32"/>
          <w:szCs w:val="32"/>
          <w:highlight w:val="none"/>
          <w:lang w:val="en-US" w:eastAsia="zh-CN"/>
        </w:rPr>
        <w:t>3,332.38</w:t>
      </w:r>
      <w:r>
        <w:rPr>
          <w:rFonts w:hint="eastAsia" w:ascii="仿宋_GB2312" w:hAnsi="仿宋_GB2312" w:eastAsia="仿宋_GB2312" w:cs="仿宋_GB2312"/>
          <w:color w:val="auto"/>
          <w:sz w:val="32"/>
          <w:szCs w:val="32"/>
          <w:highlight w:val="none"/>
        </w:rPr>
        <w:t>万元，其中：一般公共预算财政拨款收入</w:t>
      </w:r>
      <w:r>
        <w:rPr>
          <w:rFonts w:hint="eastAsia" w:ascii="Times New Roman" w:hAnsi="Times New Roman" w:eastAsia="仿宋_GB2312" w:cs="Times New Roman"/>
          <w:color w:val="auto"/>
          <w:sz w:val="32"/>
          <w:szCs w:val="32"/>
          <w:highlight w:val="none"/>
          <w:lang w:val="en-US" w:eastAsia="zh-CN"/>
        </w:rPr>
        <w:t>3,332.38</w:t>
      </w:r>
      <w:r>
        <w:rPr>
          <w:rFonts w:hint="eastAsia" w:ascii="仿宋_GB2312" w:hAnsi="仿宋_GB2312" w:eastAsia="仿宋_GB2312" w:cs="仿宋_GB2312"/>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100</w:t>
      </w:r>
      <w:r>
        <w:rPr>
          <w:rFonts w:hint="eastAsia"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sz w:val="32"/>
          <w:szCs w:val="32"/>
          <w:highlight w:val="none"/>
        </w:rPr>
        <w:t>。</w:t>
      </w:r>
      <w:bookmarkEnd w:id="48"/>
      <w:bookmarkEnd w:id="49"/>
      <w:bookmarkEnd w:id="50"/>
      <w:bookmarkEnd w:id="51"/>
    </w:p>
    <w:p w14:paraId="12783A9D">
      <w:pPr>
        <w:pStyle w:val="9"/>
        <w:rPr>
          <w:rFonts w:ascii="仿宋" w:hAnsi="仿宋" w:eastAsia="仿宋"/>
          <w:color w:val="auto"/>
          <w:sz w:val="32"/>
          <w:szCs w:val="32"/>
          <w:highlight w:val="none"/>
        </w:rPr>
      </w:pPr>
      <w:r>
        <w:rPr>
          <w:rFonts w:hint="eastAsia" w:ascii="仿宋" w:hAnsi="仿宋" w:eastAsia="仿宋"/>
          <w:b/>
          <w:color w:val="FF0000"/>
          <w:sz w:val="32"/>
          <w:szCs w:val="32"/>
        </w:rPr>
        <w:drawing>
          <wp:inline distT="0" distB="0" distL="0" distR="0">
            <wp:extent cx="5210175" cy="2073275"/>
            <wp:effectExtent l="5080" t="4445" r="4445" b="177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B51973">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14:paraId="375667FC">
      <w:pPr>
        <w:pStyle w:val="28"/>
        <w:numPr>
          <w:ilvl w:val="0"/>
          <w:numId w:val="1"/>
        </w:numPr>
        <w:spacing w:line="600" w:lineRule="exact"/>
        <w:ind w:firstLineChars="0"/>
        <w:outlineLvl w:val="1"/>
        <w:rPr>
          <w:rStyle w:val="30"/>
          <w:rFonts w:ascii="黑体" w:hAnsi="黑体" w:eastAsia="黑体"/>
          <w:b w:val="0"/>
          <w:color w:val="auto"/>
          <w:highlight w:val="none"/>
        </w:rPr>
      </w:pPr>
      <w:bookmarkStart w:id="52" w:name="_Toc15377207"/>
      <w:bookmarkStart w:id="53" w:name="_Toc5009"/>
      <w:bookmarkStart w:id="54" w:name="_Toc29854"/>
      <w:bookmarkStart w:id="55" w:name="_Toc15396605"/>
      <w:bookmarkStart w:id="56" w:name="_Toc5419"/>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52"/>
      <w:bookmarkEnd w:id="53"/>
      <w:bookmarkEnd w:id="54"/>
      <w:bookmarkEnd w:id="55"/>
      <w:bookmarkEnd w:id="56"/>
    </w:p>
    <w:p w14:paraId="50D58F88">
      <w:pPr>
        <w:spacing w:line="600" w:lineRule="exact"/>
        <w:ind w:firstLine="640" w:firstLineChars="200"/>
        <w:outlineLvl w:val="1"/>
        <w:rPr>
          <w:rFonts w:hint="eastAsia" w:ascii="仿宋_GB2312" w:hAnsi="仿宋_GB2312" w:eastAsia="仿宋_GB2312" w:cs="仿宋_GB2312"/>
          <w:color w:val="auto"/>
          <w:sz w:val="32"/>
          <w:szCs w:val="32"/>
          <w:highlight w:val="none"/>
          <w:shd w:val="pct10" w:color="auto" w:fill="FFFFFF"/>
        </w:rPr>
      </w:pPr>
      <w:bookmarkStart w:id="57" w:name="_Toc2226"/>
      <w:bookmarkStart w:id="58" w:name="_Toc15943"/>
      <w:bookmarkStart w:id="59" w:name="_Toc13081"/>
      <w:r>
        <w:rPr>
          <w:rFonts w:hint="eastAsia"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年本年支出合计</w:t>
      </w:r>
      <w:r>
        <w:rPr>
          <w:rFonts w:hint="eastAsia" w:ascii="Times New Roman" w:hAnsi="Times New Roman" w:eastAsia="仿宋_GB2312" w:cs="Times New Roman"/>
          <w:color w:val="auto"/>
          <w:sz w:val="32"/>
          <w:szCs w:val="32"/>
          <w:highlight w:val="none"/>
          <w:lang w:val="en-US" w:eastAsia="zh-CN"/>
        </w:rPr>
        <w:t>3,332.38</w:t>
      </w:r>
      <w:r>
        <w:rPr>
          <w:rFonts w:hint="eastAsia" w:ascii="仿宋_GB2312" w:hAnsi="仿宋_GB2312" w:eastAsia="仿宋_GB2312" w:cs="仿宋_GB2312"/>
          <w:color w:val="auto"/>
          <w:sz w:val="32"/>
          <w:szCs w:val="32"/>
          <w:highlight w:val="none"/>
        </w:rPr>
        <w:t>万元，其中：基本支出</w:t>
      </w:r>
      <w:r>
        <w:rPr>
          <w:rFonts w:hint="eastAsia" w:ascii="Times New Roman" w:hAnsi="Times New Roman" w:eastAsia="仿宋_GB2312" w:cs="Times New Roman"/>
          <w:color w:val="auto"/>
          <w:sz w:val="32"/>
          <w:szCs w:val="32"/>
          <w:highlight w:val="none"/>
          <w:lang w:val="en-US" w:eastAsia="zh-CN"/>
        </w:rPr>
        <w:t>2,179.88</w:t>
      </w:r>
      <w:r>
        <w:rPr>
          <w:rFonts w:hint="eastAsia" w:ascii="仿宋_GB2312" w:hAnsi="仿宋_GB2312" w:eastAsia="仿宋_GB2312" w:cs="仿宋_GB2312"/>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65.42%</w:t>
      </w:r>
      <w:r>
        <w:rPr>
          <w:rFonts w:hint="eastAsia" w:ascii="仿宋_GB2312" w:hAnsi="仿宋_GB2312" w:eastAsia="仿宋_GB2312" w:cs="仿宋_GB2312"/>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1,152.50</w:t>
      </w:r>
      <w:r>
        <w:rPr>
          <w:rFonts w:hint="eastAsia" w:ascii="仿宋_GB2312" w:hAnsi="仿宋_GB2312" w:eastAsia="仿宋_GB2312" w:cs="仿宋_GB2312"/>
          <w:color w:val="auto"/>
          <w:sz w:val="32"/>
          <w:szCs w:val="32"/>
          <w:highlight w:val="none"/>
        </w:rPr>
        <w:t>万元，占</w:t>
      </w:r>
      <w:bookmarkEnd w:id="57"/>
      <w:bookmarkEnd w:id="58"/>
      <w:r>
        <w:rPr>
          <w:rFonts w:hint="eastAsia" w:ascii="Times New Roman" w:hAnsi="Times New Roman" w:eastAsia="仿宋_GB2312" w:cs="Times New Roman"/>
          <w:color w:val="auto"/>
          <w:sz w:val="32"/>
          <w:szCs w:val="32"/>
          <w:highlight w:val="none"/>
          <w:lang w:val="en-US" w:eastAsia="zh-CN"/>
        </w:rPr>
        <w:t>34.58%</w:t>
      </w:r>
      <w:r>
        <w:rPr>
          <w:rFonts w:hint="eastAsia" w:ascii="仿宋_GB2312" w:hAnsi="仿宋_GB2312" w:eastAsia="仿宋_GB2312" w:cs="仿宋_GB2312"/>
          <w:color w:val="auto"/>
          <w:sz w:val="32"/>
          <w:szCs w:val="32"/>
          <w:highlight w:val="none"/>
          <w:lang w:eastAsia="zh-CN"/>
        </w:rPr>
        <w:t>。</w:t>
      </w:r>
      <w:bookmarkEnd w:id="59"/>
    </w:p>
    <w:p w14:paraId="1397B3B5">
      <w:pPr>
        <w:pStyle w:val="9"/>
        <w:rPr>
          <w:rFonts w:ascii="仿宋" w:hAnsi="仿宋" w:eastAsia="仿宋"/>
          <w:color w:val="auto"/>
          <w:sz w:val="32"/>
          <w:szCs w:val="32"/>
          <w:highlight w:val="none"/>
          <w:shd w:val="pct10" w:color="auto" w:fill="FFFFFF"/>
        </w:rPr>
      </w:pPr>
      <w:r>
        <w:rPr>
          <w:rFonts w:hint="eastAsia" w:ascii="仿宋" w:hAnsi="仿宋" w:eastAsia="仿宋"/>
          <w:b/>
          <w:color w:val="FF0000"/>
          <w:sz w:val="32"/>
          <w:szCs w:val="32"/>
        </w:rPr>
        <w:drawing>
          <wp:inline distT="0" distB="0" distL="0" distR="0">
            <wp:extent cx="5210175" cy="2230120"/>
            <wp:effectExtent l="4445" t="4445" r="5080" b="1333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47AACE">
      <w:pPr>
        <w:spacing w:line="600" w:lineRule="exact"/>
        <w:ind w:firstLine="640" w:firstLineChars="200"/>
      </w:pPr>
      <w:r>
        <w:rPr>
          <w:rFonts w:hint="eastAsia" w:ascii="仿宋" w:hAnsi="仿宋" w:eastAsia="仿宋"/>
          <w:color w:val="auto"/>
          <w:sz w:val="32"/>
          <w:szCs w:val="32"/>
          <w:highlight w:val="none"/>
        </w:rPr>
        <w:t>（图3：支出决算结构图）（饼状图）</w:t>
      </w:r>
    </w:p>
    <w:p w14:paraId="424D241C">
      <w:pPr>
        <w:spacing w:line="600" w:lineRule="exact"/>
        <w:ind w:firstLine="640" w:firstLineChars="200"/>
        <w:outlineLvl w:val="1"/>
        <w:rPr>
          <w:rStyle w:val="30"/>
          <w:rFonts w:ascii="黑体" w:hAnsi="黑体" w:eastAsia="黑体"/>
          <w:b w:val="0"/>
          <w:color w:val="auto"/>
          <w:highlight w:val="none"/>
        </w:rPr>
      </w:pPr>
      <w:bookmarkStart w:id="60" w:name="_Toc15396606"/>
      <w:bookmarkStart w:id="61" w:name="_Toc11706"/>
      <w:bookmarkStart w:id="62" w:name="_Toc18944"/>
      <w:bookmarkStart w:id="63" w:name="_Toc15377208"/>
      <w:bookmarkStart w:id="64" w:name="_Toc14179"/>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60"/>
      <w:bookmarkEnd w:id="61"/>
      <w:bookmarkEnd w:id="62"/>
      <w:bookmarkEnd w:id="63"/>
      <w:bookmarkEnd w:id="64"/>
    </w:p>
    <w:p w14:paraId="1CF8CCDD">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eastAsia="zh-CN"/>
        </w:rPr>
        <w:t>均为</w:t>
      </w:r>
      <w:r>
        <w:rPr>
          <w:rFonts w:hint="eastAsia" w:ascii="Times New Roman" w:hAnsi="Times New Roman" w:eastAsia="仿宋_GB2312" w:cs="Times New Roman"/>
          <w:color w:val="auto"/>
          <w:sz w:val="32"/>
          <w:szCs w:val="32"/>
          <w:highlight w:val="none"/>
          <w:lang w:val="en-US" w:eastAsia="zh-CN"/>
        </w:rPr>
        <w:t>3,332.38</w:t>
      </w:r>
      <w:r>
        <w:rPr>
          <w:rFonts w:hint="eastAsia" w:ascii="仿宋_GB2312" w:hAnsi="仿宋_GB2312" w:eastAsia="仿宋_GB2312" w:cs="仿宋_GB2312"/>
          <w:color w:val="auto"/>
          <w:sz w:val="32"/>
          <w:szCs w:val="32"/>
          <w:highlight w:val="none"/>
        </w:rPr>
        <w:t>万元。与</w:t>
      </w:r>
      <w:r>
        <w:rPr>
          <w:rFonts w:hint="eastAsia"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年相比，财政拨款收、支总计</w:t>
      </w:r>
      <w:r>
        <w:rPr>
          <w:rFonts w:hint="eastAsia" w:ascii="仿宋_GB2312" w:hAnsi="仿宋_GB2312" w:eastAsia="仿宋_GB2312" w:cs="仿宋_GB2312"/>
          <w:color w:val="auto"/>
          <w:sz w:val="32"/>
          <w:szCs w:val="32"/>
          <w:highlight w:val="none"/>
          <w:lang w:eastAsia="zh-CN"/>
        </w:rPr>
        <w:t>各增加</w:t>
      </w:r>
      <w:r>
        <w:rPr>
          <w:rFonts w:hint="eastAsia" w:ascii="Times New Roman" w:hAnsi="Times New Roman" w:eastAsia="仿宋_GB2312" w:cs="Times New Roman"/>
          <w:color w:val="auto"/>
          <w:sz w:val="32"/>
          <w:szCs w:val="32"/>
          <w:highlight w:val="none"/>
          <w:lang w:val="en-US" w:eastAsia="zh-CN"/>
        </w:rPr>
        <w:t>15.38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同比增加</w:t>
      </w:r>
      <w:r>
        <w:rPr>
          <w:rFonts w:hint="eastAsia" w:ascii="Times New Roman" w:hAnsi="Times New Roman" w:eastAsia="仿宋_GB2312" w:cs="Times New Roman"/>
          <w:color w:val="auto"/>
          <w:sz w:val="32"/>
          <w:szCs w:val="32"/>
          <w:highlight w:val="none"/>
          <w:lang w:val="en-US" w:eastAsia="zh-CN"/>
        </w:rPr>
        <w:t>0.46%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一般公共预算财政拨款收、支增加。</w:t>
      </w:r>
    </w:p>
    <w:p w14:paraId="1B9422A6">
      <w:pPr>
        <w:pStyle w:val="9"/>
        <w:rPr>
          <w:rFonts w:ascii="仿宋" w:hAnsi="仿宋" w:eastAsia="仿宋"/>
          <w:color w:val="auto"/>
          <w:sz w:val="32"/>
          <w:szCs w:val="32"/>
          <w:highlight w:val="none"/>
        </w:rPr>
      </w:pPr>
      <w:r>
        <w:rPr>
          <w:rFonts w:hint="eastAsia"/>
        </w:rPr>
        <w:drawing>
          <wp:inline distT="0" distB="0" distL="0" distR="0">
            <wp:extent cx="5219700" cy="2696845"/>
            <wp:effectExtent l="4445" t="4445" r="14605" b="228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A51EF9">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453938C8">
      <w:pPr>
        <w:spacing w:line="600" w:lineRule="exact"/>
        <w:ind w:firstLine="640"/>
        <w:rPr>
          <w:rFonts w:ascii="仿宋" w:hAnsi="仿宋" w:eastAsia="仿宋"/>
          <w:b/>
          <w:color w:val="auto"/>
          <w:sz w:val="32"/>
          <w:szCs w:val="32"/>
          <w:highlight w:val="none"/>
        </w:rPr>
      </w:pPr>
    </w:p>
    <w:p w14:paraId="66185CFC">
      <w:pPr>
        <w:spacing w:line="600" w:lineRule="exact"/>
        <w:ind w:firstLine="640" w:firstLineChars="200"/>
        <w:outlineLvl w:val="1"/>
        <w:rPr>
          <w:rStyle w:val="30"/>
          <w:rFonts w:ascii="黑体" w:hAnsi="黑体" w:eastAsia="黑体"/>
          <w:b w:val="0"/>
          <w:color w:val="auto"/>
          <w:highlight w:val="none"/>
        </w:rPr>
      </w:pPr>
      <w:bookmarkStart w:id="65" w:name="_Toc31903"/>
      <w:bookmarkStart w:id="66" w:name="_Toc15377209"/>
      <w:bookmarkStart w:id="67" w:name="_Toc26764"/>
      <w:bookmarkStart w:id="68" w:name="_Toc7350"/>
      <w:bookmarkStart w:id="69"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65"/>
      <w:bookmarkEnd w:id="66"/>
      <w:bookmarkEnd w:id="67"/>
      <w:bookmarkEnd w:id="68"/>
      <w:bookmarkEnd w:id="69"/>
    </w:p>
    <w:p w14:paraId="7B3D79E8">
      <w:pPr>
        <w:spacing w:line="600" w:lineRule="exact"/>
        <w:ind w:firstLine="643" w:firstLineChars="200"/>
        <w:outlineLvl w:val="2"/>
        <w:rPr>
          <w:rFonts w:ascii="仿宋" w:hAnsi="仿宋" w:eastAsia="仿宋"/>
          <w:b/>
          <w:color w:val="auto"/>
          <w:sz w:val="32"/>
          <w:szCs w:val="32"/>
          <w:highlight w:val="none"/>
        </w:rPr>
      </w:pPr>
      <w:bookmarkStart w:id="70" w:name="_Toc15377210"/>
      <w:r>
        <w:rPr>
          <w:rFonts w:hint="eastAsia" w:ascii="仿宋" w:hAnsi="仿宋" w:eastAsia="仿宋"/>
          <w:b/>
          <w:color w:val="auto"/>
          <w:sz w:val="32"/>
          <w:szCs w:val="32"/>
          <w:highlight w:val="none"/>
        </w:rPr>
        <w:t>（一）一般公共预算财政拨款支出决算总体情况</w:t>
      </w:r>
      <w:bookmarkEnd w:id="70"/>
    </w:p>
    <w:p w14:paraId="50D805C1">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年一般公共预算财政拨款支出</w:t>
      </w:r>
      <w:r>
        <w:rPr>
          <w:rFonts w:hint="default" w:ascii="Times New Roman" w:hAnsi="Times New Roman" w:eastAsia="仿宋_GB2312" w:cs="Times New Roman"/>
          <w:color w:val="auto"/>
          <w:sz w:val="32"/>
          <w:szCs w:val="32"/>
          <w:highlight w:val="none"/>
          <w:lang w:val="en-US" w:eastAsia="zh-CN"/>
        </w:rPr>
        <w:t>3,332.38</w:t>
      </w:r>
      <w:r>
        <w:rPr>
          <w:rFonts w:hint="eastAsia" w:ascii="仿宋_GB2312" w:hAnsi="仿宋_GB2312" w:eastAsia="仿宋_GB2312" w:cs="仿宋_GB2312"/>
          <w:color w:val="auto"/>
          <w:sz w:val="32"/>
          <w:szCs w:val="32"/>
          <w:highlight w:val="none"/>
        </w:rPr>
        <w:t>万元，占本年支出合计的</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sz w:val="32"/>
          <w:szCs w:val="32"/>
          <w:highlight w:val="none"/>
        </w:rPr>
        <w:t>。与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支出增加</w:t>
      </w:r>
      <w:r>
        <w:rPr>
          <w:rFonts w:hint="default" w:ascii="Times New Roman" w:hAnsi="Times New Roman" w:eastAsia="仿宋_GB2312" w:cs="Times New Roman"/>
          <w:color w:val="auto"/>
          <w:sz w:val="32"/>
          <w:szCs w:val="32"/>
          <w:highlight w:val="none"/>
          <w:lang w:val="en-US" w:eastAsia="zh-CN"/>
        </w:rPr>
        <w:t>15.38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同比增加</w:t>
      </w:r>
      <w:r>
        <w:rPr>
          <w:rFonts w:hint="default" w:ascii="Times New Roman" w:hAnsi="Times New Roman" w:eastAsia="仿宋_GB2312" w:cs="Times New Roman"/>
          <w:color w:val="auto"/>
          <w:sz w:val="32"/>
          <w:szCs w:val="32"/>
          <w:highlight w:val="none"/>
          <w:lang w:val="en-US" w:eastAsia="zh-CN"/>
        </w:rPr>
        <w:t>0.46%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一般公共预算财政拨款卫生健康支出增加。</w:t>
      </w:r>
    </w:p>
    <w:p w14:paraId="5152651B">
      <w:pPr>
        <w:pStyle w:val="9"/>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 w:hAnsi="仿宋" w:eastAsia="仿宋"/>
          <w:color w:val="auto"/>
          <w:sz w:val="32"/>
          <w:szCs w:val="32"/>
          <w:highlight w:val="none"/>
        </w:rPr>
      </w:pPr>
      <w:r>
        <w:rPr>
          <w:rFonts w:hint="eastAsia"/>
        </w:rPr>
        <w:drawing>
          <wp:anchor distT="0" distB="0" distL="114300" distR="114300" simplePos="0" relativeHeight="251659264" behindDoc="0" locked="0" layoutInCell="1" allowOverlap="0">
            <wp:simplePos x="0" y="0"/>
            <wp:positionH relativeFrom="column">
              <wp:posOffset>42545</wp:posOffset>
            </wp:positionH>
            <wp:positionV relativeFrom="paragraph">
              <wp:posOffset>126365</wp:posOffset>
            </wp:positionV>
            <wp:extent cx="5143500" cy="3298825"/>
            <wp:effectExtent l="4445" t="4445" r="14605" b="1143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highlight w:val="none"/>
        </w:rPr>
        <w:t>（图5：一般公共预算财政拨款支出决算变动情况）（柱状图）</w:t>
      </w:r>
    </w:p>
    <w:p w14:paraId="4CCC7331">
      <w:pPr>
        <w:spacing w:line="600" w:lineRule="exact"/>
        <w:ind w:firstLine="643" w:firstLineChars="200"/>
        <w:outlineLvl w:val="2"/>
        <w:rPr>
          <w:rFonts w:ascii="仿宋" w:hAnsi="仿宋" w:eastAsia="仿宋"/>
          <w:b/>
          <w:color w:val="auto"/>
          <w:sz w:val="32"/>
          <w:szCs w:val="32"/>
          <w:highlight w:val="none"/>
        </w:rPr>
      </w:pPr>
      <w:bookmarkStart w:id="71" w:name="_Toc15377211"/>
      <w:r>
        <w:rPr>
          <w:rFonts w:hint="eastAsia" w:ascii="仿宋" w:hAnsi="仿宋" w:eastAsia="仿宋"/>
          <w:b/>
          <w:color w:val="auto"/>
          <w:sz w:val="32"/>
          <w:szCs w:val="32"/>
          <w:highlight w:val="none"/>
        </w:rPr>
        <w:t>（二）一般公共预算财政拨款支出决算结构情况</w:t>
      </w:r>
      <w:bookmarkEnd w:id="71"/>
    </w:p>
    <w:p w14:paraId="0E438C71">
      <w:pPr>
        <w:spacing w:line="600" w:lineRule="exact"/>
        <w:ind w:firstLine="640"/>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年一般公共预算财政拨款支出</w:t>
      </w:r>
      <w:r>
        <w:rPr>
          <w:rFonts w:hint="eastAsia" w:ascii="Times New Roman" w:hAnsi="Times New Roman" w:eastAsia="仿宋_GB2312" w:cs="Times New Roman"/>
          <w:color w:val="auto"/>
          <w:sz w:val="32"/>
          <w:szCs w:val="32"/>
          <w:highlight w:val="none"/>
        </w:rPr>
        <w:t>3,332.38</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b w:val="0"/>
          <w:bCs/>
          <w:color w:val="auto"/>
          <w:sz w:val="32"/>
          <w:szCs w:val="32"/>
          <w:highlight w:val="none"/>
        </w:rPr>
        <w:t>社会保障和就业支出</w:t>
      </w:r>
      <w:r>
        <w:rPr>
          <w:rFonts w:hint="eastAsia" w:ascii="Times New Roman" w:hAnsi="Times New Roman" w:eastAsia="仿宋_GB2312" w:cs="Times New Roman"/>
          <w:color w:val="auto"/>
          <w:sz w:val="32"/>
          <w:szCs w:val="32"/>
          <w:highlight w:val="none"/>
          <w:lang w:val="en-US" w:eastAsia="zh-CN"/>
        </w:rPr>
        <w:t>210.12</w:t>
      </w:r>
      <w:r>
        <w:rPr>
          <w:rFonts w:hint="eastAsia" w:ascii="仿宋_GB2312" w:hAnsi="仿宋_GB2312" w:eastAsia="仿宋_GB2312" w:cs="仿宋_GB2312"/>
          <w:b w:val="0"/>
          <w:bCs/>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6.31%</w:t>
      </w:r>
      <w:r>
        <w:rPr>
          <w:rFonts w:hint="eastAsia" w:ascii="Times New Roman" w:hAnsi="Times New Roman" w:eastAsia="仿宋_GB2312" w:cs="Times New Roman"/>
          <w:color w:val="auto"/>
          <w:sz w:val="32"/>
          <w:szCs w:val="32"/>
          <w:highlight w:val="none"/>
        </w:rPr>
        <w:t>；</w:t>
      </w:r>
      <w:r>
        <w:rPr>
          <w:rFonts w:hint="eastAsia" w:ascii="仿宋_GB2312" w:hAnsi="仿宋_GB2312" w:eastAsia="仿宋_GB2312" w:cs="仿宋_GB2312"/>
          <w:b w:val="0"/>
          <w:bCs/>
          <w:color w:val="auto"/>
          <w:sz w:val="32"/>
          <w:szCs w:val="32"/>
          <w:highlight w:val="none"/>
        </w:rPr>
        <w:t>卫生健康支出</w:t>
      </w:r>
      <w:r>
        <w:rPr>
          <w:rFonts w:hint="eastAsia" w:ascii="Times New Roman" w:hAnsi="Times New Roman" w:eastAsia="仿宋_GB2312" w:cs="Times New Roman"/>
          <w:color w:val="auto"/>
          <w:sz w:val="32"/>
          <w:szCs w:val="32"/>
          <w:highlight w:val="none"/>
          <w:lang w:val="en-US" w:eastAsia="zh-CN"/>
        </w:rPr>
        <w:t>2,975.14</w:t>
      </w:r>
      <w:r>
        <w:rPr>
          <w:rFonts w:hint="eastAsia" w:ascii="仿宋_GB2312" w:hAnsi="仿宋_GB2312" w:eastAsia="仿宋_GB2312" w:cs="仿宋_GB2312"/>
          <w:b w:val="0"/>
          <w:bCs/>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89.28%</w:t>
      </w:r>
      <w:r>
        <w:rPr>
          <w:rFonts w:hint="eastAsia" w:ascii="仿宋_GB2312" w:hAnsi="仿宋_GB2312" w:eastAsia="仿宋_GB2312" w:cs="仿宋_GB2312"/>
          <w:b w:val="0"/>
          <w:bCs/>
          <w:color w:val="auto"/>
          <w:sz w:val="32"/>
          <w:szCs w:val="32"/>
          <w:highlight w:val="none"/>
        </w:rPr>
        <w:t>；住房保障支出</w:t>
      </w:r>
      <w:r>
        <w:rPr>
          <w:rFonts w:hint="eastAsia" w:ascii="Times New Roman" w:hAnsi="Times New Roman" w:eastAsia="仿宋_GB2312" w:cs="Times New Roman"/>
          <w:color w:val="auto"/>
          <w:sz w:val="32"/>
          <w:szCs w:val="32"/>
          <w:highlight w:val="none"/>
          <w:lang w:val="en-US" w:eastAsia="zh-CN"/>
        </w:rPr>
        <w:t>147.12</w:t>
      </w:r>
      <w:r>
        <w:rPr>
          <w:rFonts w:hint="eastAsia" w:ascii="仿宋_GB2312" w:hAnsi="仿宋_GB2312" w:eastAsia="仿宋_GB2312" w:cs="仿宋_GB2312"/>
          <w:b w:val="0"/>
          <w:bCs/>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4.41%</w:t>
      </w:r>
      <w:r>
        <w:rPr>
          <w:rFonts w:hint="eastAsia" w:ascii="仿宋_GB2312" w:hAnsi="仿宋_GB2312" w:eastAsia="仿宋_GB2312" w:cs="仿宋_GB2312"/>
          <w:b w:val="0"/>
          <w:bCs/>
          <w:color w:val="auto"/>
          <w:sz w:val="32"/>
          <w:szCs w:val="32"/>
          <w:highlight w:val="none"/>
        </w:rPr>
        <w:t>。</w:t>
      </w:r>
    </w:p>
    <w:p w14:paraId="7AC065D3">
      <w:pPr>
        <w:pStyle w:val="9"/>
        <w:rPr>
          <w:rFonts w:ascii="仿宋" w:hAnsi="仿宋" w:eastAsia="仿宋"/>
          <w:color w:val="auto"/>
          <w:sz w:val="32"/>
          <w:szCs w:val="32"/>
          <w:highlight w:val="none"/>
        </w:rPr>
      </w:pPr>
      <w:r>
        <w:rPr>
          <w:rFonts w:hint="eastAsia"/>
        </w:rPr>
        <w:drawing>
          <wp:inline distT="0" distB="0" distL="0" distR="0">
            <wp:extent cx="5274310" cy="2406650"/>
            <wp:effectExtent l="5080" t="4445" r="16510" b="8255"/>
            <wp:docPr id="2"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903045">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46E4BC84">
      <w:pPr>
        <w:spacing w:line="600" w:lineRule="exact"/>
        <w:ind w:firstLine="643" w:firstLineChars="200"/>
        <w:outlineLvl w:val="2"/>
        <w:rPr>
          <w:rFonts w:ascii="仿宋" w:hAnsi="仿宋" w:eastAsia="仿宋"/>
          <w:color w:val="auto"/>
          <w:sz w:val="32"/>
          <w:szCs w:val="32"/>
          <w:highlight w:val="none"/>
        </w:rPr>
      </w:pPr>
      <w:bookmarkStart w:id="72" w:name="_Toc15377212"/>
      <w:r>
        <w:rPr>
          <w:rFonts w:hint="eastAsia" w:ascii="仿宋" w:hAnsi="仿宋" w:eastAsia="仿宋"/>
          <w:b/>
          <w:color w:val="auto"/>
          <w:sz w:val="32"/>
          <w:szCs w:val="32"/>
          <w:highlight w:val="none"/>
        </w:rPr>
        <w:t>（三）一般公共预算财政拨款支出决算具体情况</w:t>
      </w:r>
      <w:bookmarkEnd w:id="72"/>
    </w:p>
    <w:p w14:paraId="4D500AAD">
      <w:pPr>
        <w:spacing w:line="600" w:lineRule="exact"/>
        <w:ind w:firstLine="640" w:firstLineChars="200"/>
        <w:outlineLvl w:val="2"/>
        <w:rPr>
          <w:rFonts w:ascii="仿宋_GB2312" w:hAnsi="仿宋" w:eastAsia="仿宋_GB2312"/>
          <w:b w:val="0"/>
          <w:bCs/>
          <w:color w:val="FF0000"/>
          <w:sz w:val="32"/>
          <w:szCs w:val="32"/>
        </w:rPr>
      </w:pPr>
      <w:bookmarkStart w:id="73" w:name="_Toc113361033"/>
      <w:bookmarkStart w:id="74" w:name="_Toc113360537"/>
      <w:r>
        <w:rPr>
          <w:rFonts w:hint="default" w:ascii="Times New Roman" w:hAnsi="Times New Roman" w:eastAsia="仿宋_GB2312" w:cs="Times New Roman"/>
          <w:b w:val="0"/>
          <w:bCs/>
          <w:color w:val="000000"/>
          <w:sz w:val="32"/>
          <w:szCs w:val="32"/>
        </w:rPr>
        <w:t>202</w:t>
      </w:r>
      <w:r>
        <w:rPr>
          <w:rFonts w:hint="default" w:ascii="Times New Roman" w:hAnsi="Times New Roman" w:eastAsia="仿宋_GB2312" w:cs="Times New Roman"/>
          <w:b w:val="0"/>
          <w:bCs/>
          <w:color w:val="000000"/>
          <w:sz w:val="32"/>
          <w:szCs w:val="32"/>
          <w:lang w:val="en-US" w:eastAsia="zh-CN"/>
        </w:rPr>
        <w:t>4</w:t>
      </w:r>
      <w:r>
        <w:rPr>
          <w:rFonts w:hint="eastAsia" w:ascii="仿宋_GB2312" w:hAnsi="仿宋" w:eastAsia="仿宋_GB2312"/>
          <w:b w:val="0"/>
          <w:bCs/>
          <w:color w:val="000000"/>
          <w:sz w:val="32"/>
          <w:szCs w:val="32"/>
        </w:rPr>
        <w:t>年一般公共预算支出决算数为</w:t>
      </w:r>
      <w:r>
        <w:rPr>
          <w:rFonts w:hint="eastAsia" w:ascii="Times New Roman" w:hAnsi="Times New Roman" w:eastAsia="仿宋_GB2312" w:cs="Times New Roman"/>
          <w:b w:val="0"/>
          <w:bCs/>
          <w:color w:val="000000"/>
          <w:sz w:val="32"/>
          <w:szCs w:val="32"/>
          <w:lang w:val="en-US" w:eastAsia="zh-CN"/>
        </w:rPr>
        <w:t>3,332.38</w:t>
      </w:r>
      <w:r>
        <w:rPr>
          <w:rFonts w:hint="eastAsia" w:ascii="仿宋_GB2312" w:hAnsi="仿宋" w:eastAsia="仿宋_GB2312"/>
          <w:b w:val="0"/>
          <w:bCs/>
          <w:color w:val="000000"/>
          <w:sz w:val="32"/>
          <w:szCs w:val="32"/>
        </w:rPr>
        <w:t>万元，</w:t>
      </w:r>
      <w:r>
        <w:rPr>
          <w:rStyle w:val="18"/>
          <w:rFonts w:hint="eastAsia" w:ascii="仿宋_GB2312" w:hAnsi="仿宋" w:eastAsia="仿宋_GB2312"/>
          <w:b w:val="0"/>
          <w:bCs/>
          <w:color w:val="000000"/>
          <w:sz w:val="32"/>
          <w:szCs w:val="32"/>
        </w:rPr>
        <w:t>完成预算</w:t>
      </w:r>
      <w:r>
        <w:rPr>
          <w:rFonts w:hint="eastAsia" w:ascii="Times New Roman" w:hAnsi="Times New Roman" w:eastAsia="仿宋_GB2312" w:cs="Times New Roman"/>
          <w:b w:val="0"/>
          <w:bCs/>
          <w:color w:val="000000"/>
          <w:sz w:val="32"/>
          <w:szCs w:val="32"/>
        </w:rPr>
        <w:t>100.00%</w:t>
      </w:r>
      <w:r>
        <w:rPr>
          <w:rStyle w:val="18"/>
          <w:rFonts w:hint="eastAsia" w:ascii="仿宋_GB2312" w:hAnsi="仿宋" w:eastAsia="仿宋_GB2312"/>
          <w:b w:val="0"/>
          <w:bCs/>
          <w:sz w:val="32"/>
          <w:szCs w:val="32"/>
        </w:rPr>
        <w:t>。</w:t>
      </w:r>
      <w:r>
        <w:rPr>
          <w:rStyle w:val="18"/>
          <w:rFonts w:hint="eastAsia" w:ascii="仿宋_GB2312" w:hAnsi="仿宋" w:eastAsia="仿宋_GB2312"/>
          <w:b w:val="0"/>
          <w:bCs/>
          <w:color w:val="000000"/>
          <w:sz w:val="32"/>
          <w:szCs w:val="32"/>
        </w:rPr>
        <w:t>其中：</w:t>
      </w:r>
      <w:bookmarkEnd w:id="73"/>
      <w:bookmarkEnd w:id="74"/>
    </w:p>
    <w:p w14:paraId="7B4399A1">
      <w:pPr>
        <w:spacing w:line="600" w:lineRule="exact"/>
        <w:ind w:firstLine="640" w:firstLineChars="200"/>
        <w:rPr>
          <w:rFonts w:ascii="仿宋" w:hAnsi="仿宋" w:eastAsia="仿宋"/>
          <w:b w:val="0"/>
          <w:bCs/>
          <w:color w:val="000000"/>
          <w:sz w:val="32"/>
          <w:szCs w:val="32"/>
        </w:rPr>
      </w:pPr>
      <w:r>
        <w:rPr>
          <w:rStyle w:val="18"/>
          <w:rFonts w:hint="eastAsia" w:ascii="仿宋" w:hAnsi="仿宋" w:eastAsia="仿宋"/>
          <w:b w:val="0"/>
          <w:bCs/>
          <w:color w:val="000000"/>
          <w:sz w:val="32"/>
          <w:szCs w:val="32"/>
        </w:rPr>
        <w:t>1.</w:t>
      </w:r>
      <w:r>
        <w:rPr>
          <w:rStyle w:val="35"/>
          <w:rFonts w:hint="eastAsia" w:ascii="仿宋" w:hAnsi="仿宋" w:eastAsia="仿宋"/>
          <w:b w:val="0"/>
          <w:bCs/>
          <w:sz w:val="32"/>
          <w:szCs w:val="32"/>
        </w:rPr>
        <w:t>社会保障和就业支出（类）行政事业单位养老支出（款）</w:t>
      </w:r>
      <w:r>
        <w:rPr>
          <w:rStyle w:val="36"/>
          <w:rFonts w:hint="eastAsia" w:ascii="仿宋" w:hAnsi="仿宋" w:eastAsia="仿宋"/>
          <w:b w:val="0"/>
          <w:bCs/>
          <w:sz w:val="32"/>
          <w:szCs w:val="32"/>
        </w:rPr>
        <w:t>事业单位离退休</w:t>
      </w:r>
      <w:r>
        <w:rPr>
          <w:rStyle w:val="35"/>
          <w:rFonts w:hint="eastAsia" w:ascii="仿宋" w:hAnsi="仿宋" w:eastAsia="仿宋"/>
          <w:b w:val="0"/>
          <w:bCs/>
          <w:sz w:val="32"/>
          <w:szCs w:val="32"/>
        </w:rPr>
        <w:t>（项）</w:t>
      </w:r>
      <w:r>
        <w:rPr>
          <w:rStyle w:val="18"/>
          <w:rFonts w:hint="eastAsia" w:ascii="仿宋" w:hAnsi="仿宋" w:eastAsia="仿宋"/>
          <w:b w:val="0"/>
          <w:bCs/>
          <w:color w:val="000000"/>
          <w:sz w:val="32"/>
          <w:szCs w:val="32"/>
        </w:rPr>
        <w:t>: 支出决算为</w:t>
      </w:r>
      <w:r>
        <w:rPr>
          <w:rStyle w:val="18"/>
          <w:rFonts w:hint="default" w:ascii="Times New Roman" w:hAnsi="Times New Roman" w:eastAsia="仿宋" w:cs="Times New Roman"/>
          <w:b w:val="0"/>
          <w:bCs/>
          <w:color w:val="000000"/>
          <w:sz w:val="32"/>
          <w:szCs w:val="32"/>
          <w:lang w:val="en-US" w:eastAsia="zh-CN"/>
        </w:rPr>
        <w:t>26.07</w:t>
      </w:r>
      <w:r>
        <w:rPr>
          <w:rStyle w:val="18"/>
          <w:rFonts w:hint="eastAsia" w:ascii="仿宋" w:hAnsi="仿宋" w:eastAsia="仿宋"/>
          <w:b w:val="0"/>
          <w:bCs/>
          <w:color w:val="000000"/>
          <w:sz w:val="32"/>
          <w:szCs w:val="32"/>
        </w:rPr>
        <w:t>万元，完成预算</w:t>
      </w:r>
      <w:r>
        <w:rPr>
          <w:rStyle w:val="18"/>
          <w:rFonts w:hint="eastAsia" w:ascii="Times New Roman" w:hAnsi="Times New Roman" w:eastAsia="仿宋" w:cs="Times New Roman"/>
          <w:b w:val="0"/>
          <w:bCs/>
          <w:color w:val="000000"/>
          <w:sz w:val="32"/>
          <w:szCs w:val="32"/>
          <w:lang w:val="en-US" w:eastAsia="zh-CN"/>
        </w:rPr>
        <w:t>100%</w:t>
      </w:r>
      <w:r>
        <w:rPr>
          <w:rStyle w:val="18"/>
          <w:rFonts w:hint="eastAsia" w:ascii="仿宋" w:hAnsi="仿宋" w:eastAsia="仿宋"/>
          <w:b w:val="0"/>
          <w:bCs/>
          <w:color w:val="000000"/>
          <w:sz w:val="32"/>
          <w:szCs w:val="32"/>
        </w:rPr>
        <w:t>。</w:t>
      </w:r>
    </w:p>
    <w:p w14:paraId="1D4126EA">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 w:val="0"/>
          <w:bCs/>
          <w:color w:val="000000"/>
          <w:sz w:val="32"/>
          <w:szCs w:val="32"/>
        </w:rPr>
        <w:t>2.</w:t>
      </w:r>
      <w:r>
        <w:rPr>
          <w:rStyle w:val="35"/>
          <w:rFonts w:hint="eastAsia" w:ascii="仿宋" w:hAnsi="仿宋" w:eastAsia="仿宋"/>
          <w:b w:val="0"/>
          <w:bCs/>
          <w:sz w:val="32"/>
          <w:szCs w:val="32"/>
        </w:rPr>
        <w:t>社会保障和就业支出（类）行政事业单位养老支出（款）</w:t>
      </w:r>
      <w:r>
        <w:rPr>
          <w:rStyle w:val="36"/>
          <w:rFonts w:hint="eastAsia" w:ascii="仿宋" w:hAnsi="仿宋" w:eastAsia="仿宋"/>
          <w:b w:val="0"/>
          <w:bCs/>
          <w:sz w:val="32"/>
          <w:szCs w:val="32"/>
        </w:rPr>
        <w:t>机关事业单位基本养老保险缴费支出</w:t>
      </w:r>
      <w:r>
        <w:rPr>
          <w:rStyle w:val="35"/>
          <w:rFonts w:hint="eastAsia" w:ascii="仿宋" w:hAnsi="仿宋" w:eastAsia="仿宋"/>
          <w:b w:val="0"/>
          <w:bCs/>
          <w:sz w:val="32"/>
          <w:szCs w:val="32"/>
        </w:rPr>
        <w:t>（项）</w:t>
      </w:r>
      <w:r>
        <w:rPr>
          <w:rStyle w:val="18"/>
          <w:rFonts w:hint="eastAsia" w:ascii="仿宋" w:hAnsi="仿宋" w:eastAsia="仿宋"/>
          <w:b w:val="0"/>
          <w:bCs/>
          <w:color w:val="000000"/>
          <w:sz w:val="32"/>
          <w:szCs w:val="32"/>
        </w:rPr>
        <w:t>: 支出决算为</w:t>
      </w:r>
      <w:r>
        <w:rPr>
          <w:rStyle w:val="18"/>
          <w:rFonts w:hint="eastAsia" w:ascii="Times New Roman" w:hAnsi="Times New Roman" w:eastAsia="仿宋" w:cs="Times New Roman"/>
          <w:b w:val="0"/>
          <w:bCs/>
          <w:color w:val="000000"/>
          <w:sz w:val="32"/>
          <w:szCs w:val="32"/>
          <w:lang w:val="en-US" w:eastAsia="zh-CN"/>
        </w:rPr>
        <w:t>176.65</w:t>
      </w:r>
      <w:r>
        <w:rPr>
          <w:rStyle w:val="18"/>
          <w:rFonts w:hint="eastAsia" w:ascii="仿宋" w:hAnsi="仿宋" w:eastAsia="仿宋"/>
          <w:b w:val="0"/>
          <w:bCs/>
          <w:color w:val="000000"/>
          <w:sz w:val="32"/>
          <w:szCs w:val="32"/>
        </w:rPr>
        <w:t>万元，完成预算</w:t>
      </w:r>
      <w:r>
        <w:rPr>
          <w:rStyle w:val="18"/>
          <w:rFonts w:hint="eastAsia" w:ascii="Times New Roman" w:hAnsi="Times New Roman" w:eastAsia="仿宋" w:cs="Times New Roman"/>
          <w:b w:val="0"/>
          <w:bCs/>
          <w:color w:val="000000"/>
          <w:sz w:val="32"/>
          <w:szCs w:val="32"/>
          <w:lang w:val="en-US" w:eastAsia="zh-CN"/>
        </w:rPr>
        <w:t>100%</w:t>
      </w:r>
      <w:r>
        <w:rPr>
          <w:rStyle w:val="18"/>
          <w:rFonts w:hint="eastAsia" w:ascii="仿宋" w:hAnsi="仿宋" w:eastAsia="仿宋"/>
          <w:b w:val="0"/>
          <w:bCs/>
          <w:color w:val="000000"/>
          <w:sz w:val="32"/>
          <w:szCs w:val="32"/>
        </w:rPr>
        <w:t>。</w:t>
      </w:r>
    </w:p>
    <w:p w14:paraId="5FAABD34">
      <w:pPr>
        <w:spacing w:line="600" w:lineRule="exact"/>
        <w:ind w:firstLine="640" w:firstLineChars="200"/>
        <w:rPr>
          <w:rFonts w:ascii="仿宋" w:hAnsi="仿宋" w:eastAsia="仿宋"/>
          <w:b w:val="0"/>
          <w:bCs/>
          <w:color w:val="000000"/>
          <w:sz w:val="32"/>
          <w:szCs w:val="32"/>
        </w:rPr>
      </w:pPr>
      <w:r>
        <w:rPr>
          <w:rStyle w:val="18"/>
          <w:rFonts w:hint="eastAsia" w:ascii="仿宋" w:hAnsi="仿宋" w:eastAsia="仿宋"/>
          <w:b w:val="0"/>
          <w:bCs/>
          <w:color w:val="000000"/>
          <w:sz w:val="32"/>
          <w:szCs w:val="32"/>
        </w:rPr>
        <w:t>3.</w:t>
      </w:r>
      <w:r>
        <w:rPr>
          <w:rStyle w:val="35"/>
          <w:rFonts w:hint="eastAsia" w:ascii="仿宋" w:hAnsi="仿宋" w:eastAsia="仿宋"/>
          <w:b w:val="0"/>
          <w:bCs/>
          <w:sz w:val="32"/>
          <w:szCs w:val="32"/>
        </w:rPr>
        <w:t>社会保障和就业支出（类）抚恤（款）</w:t>
      </w:r>
      <w:r>
        <w:rPr>
          <w:rStyle w:val="36"/>
          <w:rFonts w:hint="eastAsia" w:ascii="仿宋" w:hAnsi="仿宋" w:eastAsia="仿宋"/>
          <w:b w:val="0"/>
          <w:bCs/>
          <w:sz w:val="32"/>
          <w:szCs w:val="32"/>
        </w:rPr>
        <w:t>死亡抚恤</w:t>
      </w:r>
      <w:r>
        <w:rPr>
          <w:rStyle w:val="35"/>
          <w:rFonts w:hint="eastAsia" w:ascii="仿宋" w:hAnsi="仿宋" w:eastAsia="仿宋"/>
          <w:b w:val="0"/>
          <w:bCs/>
          <w:sz w:val="32"/>
          <w:szCs w:val="32"/>
        </w:rPr>
        <w:t>（项）：</w:t>
      </w:r>
      <w:r>
        <w:rPr>
          <w:rStyle w:val="18"/>
          <w:rFonts w:hint="eastAsia" w:ascii="仿宋" w:hAnsi="仿宋" w:eastAsia="仿宋"/>
          <w:b w:val="0"/>
          <w:bCs/>
          <w:color w:val="000000"/>
          <w:sz w:val="32"/>
          <w:szCs w:val="32"/>
        </w:rPr>
        <w:t>支出决算为</w:t>
      </w:r>
      <w:r>
        <w:rPr>
          <w:rStyle w:val="18"/>
          <w:rFonts w:hint="eastAsia" w:ascii="Times New Roman" w:hAnsi="Times New Roman" w:eastAsia="仿宋" w:cs="Times New Roman"/>
          <w:b w:val="0"/>
          <w:bCs/>
          <w:color w:val="000000"/>
          <w:sz w:val="32"/>
          <w:szCs w:val="32"/>
          <w:lang w:val="en-US" w:eastAsia="zh-CN"/>
        </w:rPr>
        <w:t>7.40</w:t>
      </w:r>
      <w:r>
        <w:rPr>
          <w:rStyle w:val="18"/>
          <w:rFonts w:hint="eastAsia" w:ascii="仿宋" w:hAnsi="仿宋" w:eastAsia="仿宋"/>
          <w:b w:val="0"/>
          <w:bCs/>
          <w:color w:val="000000"/>
          <w:sz w:val="32"/>
          <w:szCs w:val="32"/>
        </w:rPr>
        <w:t>万元，完成预算</w:t>
      </w:r>
      <w:r>
        <w:rPr>
          <w:rStyle w:val="18"/>
          <w:rFonts w:hint="eastAsia" w:ascii="Times New Roman" w:hAnsi="Times New Roman" w:eastAsia="仿宋" w:cs="Times New Roman"/>
          <w:b w:val="0"/>
          <w:bCs/>
          <w:color w:val="000000"/>
          <w:sz w:val="32"/>
          <w:szCs w:val="32"/>
          <w:lang w:val="en-US" w:eastAsia="zh-CN"/>
        </w:rPr>
        <w:t>100%</w:t>
      </w:r>
      <w:r>
        <w:rPr>
          <w:rStyle w:val="18"/>
          <w:rFonts w:hint="eastAsia" w:ascii="仿宋" w:hAnsi="仿宋" w:eastAsia="仿宋"/>
          <w:b w:val="0"/>
          <w:bCs/>
          <w:color w:val="000000"/>
          <w:sz w:val="32"/>
          <w:szCs w:val="32"/>
        </w:rPr>
        <w:t>。</w:t>
      </w:r>
    </w:p>
    <w:p w14:paraId="1352DAED">
      <w:pPr>
        <w:spacing w:line="600" w:lineRule="exact"/>
        <w:ind w:firstLine="640" w:firstLineChars="200"/>
        <w:rPr>
          <w:rStyle w:val="18"/>
          <w:rFonts w:ascii="仿宋" w:hAnsi="仿宋" w:eastAsia="仿宋"/>
          <w:b w:val="0"/>
          <w:bCs/>
          <w:color w:val="000000"/>
          <w:sz w:val="32"/>
          <w:szCs w:val="32"/>
        </w:rPr>
      </w:pPr>
      <w:r>
        <w:rPr>
          <w:rFonts w:hint="eastAsia" w:ascii="仿宋" w:hAnsi="仿宋" w:eastAsia="仿宋"/>
          <w:b w:val="0"/>
          <w:bCs/>
          <w:color w:val="000000"/>
          <w:sz w:val="32"/>
          <w:szCs w:val="32"/>
        </w:rPr>
        <w:t>4.</w:t>
      </w:r>
      <w:r>
        <w:rPr>
          <w:rStyle w:val="35"/>
          <w:rFonts w:hint="eastAsia" w:ascii="仿宋" w:hAnsi="仿宋" w:eastAsia="仿宋"/>
          <w:b w:val="0"/>
          <w:bCs/>
          <w:sz w:val="32"/>
          <w:szCs w:val="32"/>
        </w:rPr>
        <w:t>卫生健康支出（类）公共卫生（款）</w:t>
      </w:r>
      <w:r>
        <w:rPr>
          <w:rStyle w:val="36"/>
          <w:rFonts w:hint="eastAsia" w:ascii="仿宋" w:hAnsi="仿宋" w:eastAsia="仿宋"/>
          <w:b w:val="0"/>
          <w:bCs/>
          <w:sz w:val="32"/>
          <w:szCs w:val="32"/>
        </w:rPr>
        <w:t>疾病预防控制机构</w:t>
      </w:r>
      <w:r>
        <w:rPr>
          <w:rStyle w:val="35"/>
          <w:rFonts w:hint="eastAsia" w:ascii="仿宋" w:hAnsi="仿宋" w:eastAsia="仿宋"/>
          <w:b w:val="0"/>
          <w:bCs/>
          <w:sz w:val="32"/>
          <w:szCs w:val="32"/>
        </w:rPr>
        <w:t>（项）：</w:t>
      </w:r>
      <w:r>
        <w:rPr>
          <w:rStyle w:val="18"/>
          <w:rFonts w:hint="eastAsia" w:ascii="仿宋" w:hAnsi="仿宋" w:eastAsia="仿宋"/>
          <w:b w:val="0"/>
          <w:bCs/>
          <w:color w:val="000000"/>
          <w:sz w:val="32"/>
          <w:szCs w:val="32"/>
        </w:rPr>
        <w:t>支出决算为</w:t>
      </w:r>
      <w:r>
        <w:rPr>
          <w:rStyle w:val="18"/>
          <w:rFonts w:hint="eastAsia" w:ascii="Times New Roman" w:hAnsi="Times New Roman" w:eastAsia="仿宋" w:cs="Times New Roman"/>
          <w:b w:val="0"/>
          <w:bCs/>
          <w:color w:val="000000"/>
          <w:sz w:val="32"/>
          <w:szCs w:val="32"/>
          <w:lang w:val="en-US" w:eastAsia="zh-CN"/>
        </w:rPr>
        <w:t>1,933.81</w:t>
      </w:r>
      <w:r>
        <w:rPr>
          <w:rStyle w:val="18"/>
          <w:rFonts w:hint="eastAsia" w:ascii="仿宋" w:hAnsi="仿宋" w:eastAsia="仿宋"/>
          <w:b w:val="0"/>
          <w:bCs/>
          <w:color w:val="000000"/>
          <w:sz w:val="32"/>
          <w:szCs w:val="32"/>
        </w:rPr>
        <w:t>万元，完成预算</w:t>
      </w:r>
      <w:r>
        <w:rPr>
          <w:rStyle w:val="18"/>
          <w:rFonts w:hint="eastAsia" w:ascii="Times New Roman" w:hAnsi="Times New Roman" w:eastAsia="仿宋" w:cs="Times New Roman"/>
          <w:b w:val="0"/>
          <w:bCs/>
          <w:color w:val="000000"/>
          <w:sz w:val="32"/>
          <w:szCs w:val="32"/>
          <w:lang w:val="en-US" w:eastAsia="zh-CN"/>
        </w:rPr>
        <w:t>100%</w:t>
      </w:r>
      <w:r>
        <w:rPr>
          <w:rStyle w:val="18"/>
          <w:rFonts w:hint="eastAsia" w:ascii="仿宋" w:hAnsi="仿宋" w:eastAsia="仿宋"/>
          <w:b w:val="0"/>
          <w:bCs/>
          <w:color w:val="000000"/>
          <w:sz w:val="32"/>
          <w:szCs w:val="32"/>
        </w:rPr>
        <w:t>。</w:t>
      </w:r>
    </w:p>
    <w:p w14:paraId="7CCB074E">
      <w:pPr>
        <w:spacing w:line="600" w:lineRule="exact"/>
        <w:ind w:firstLine="640" w:firstLineChars="200"/>
        <w:rPr>
          <w:rStyle w:val="18"/>
          <w:rFonts w:ascii="仿宋" w:hAnsi="仿宋" w:eastAsia="仿宋"/>
          <w:b w:val="0"/>
          <w:bCs/>
          <w:color w:val="000000"/>
          <w:sz w:val="32"/>
          <w:szCs w:val="32"/>
        </w:rPr>
      </w:pPr>
      <w:r>
        <w:rPr>
          <w:rFonts w:hint="eastAsia" w:ascii="仿宋" w:hAnsi="仿宋" w:eastAsia="仿宋"/>
          <w:b w:val="0"/>
          <w:bCs/>
          <w:color w:val="000000"/>
          <w:sz w:val="32"/>
          <w:szCs w:val="32"/>
        </w:rPr>
        <w:t>5.</w:t>
      </w:r>
      <w:r>
        <w:rPr>
          <w:rStyle w:val="35"/>
          <w:rFonts w:hint="eastAsia" w:ascii="仿宋" w:hAnsi="仿宋" w:eastAsia="仿宋"/>
          <w:b w:val="0"/>
          <w:bCs/>
          <w:sz w:val="32"/>
          <w:szCs w:val="32"/>
        </w:rPr>
        <w:t>卫生健康支出（类）公共卫生（款）</w:t>
      </w:r>
      <w:r>
        <w:rPr>
          <w:rStyle w:val="36"/>
          <w:rFonts w:hint="eastAsia" w:ascii="仿宋" w:hAnsi="仿宋" w:eastAsia="仿宋"/>
          <w:b w:val="0"/>
          <w:bCs/>
          <w:sz w:val="32"/>
          <w:szCs w:val="32"/>
        </w:rPr>
        <w:t>基本公共卫生服务</w:t>
      </w:r>
      <w:r>
        <w:rPr>
          <w:rStyle w:val="35"/>
          <w:rFonts w:hint="eastAsia" w:ascii="仿宋" w:hAnsi="仿宋" w:eastAsia="仿宋"/>
          <w:b w:val="0"/>
          <w:bCs/>
          <w:sz w:val="32"/>
          <w:szCs w:val="32"/>
        </w:rPr>
        <w:t>（项）：</w:t>
      </w:r>
      <w:r>
        <w:rPr>
          <w:rStyle w:val="18"/>
          <w:rFonts w:hint="eastAsia" w:ascii="仿宋" w:hAnsi="仿宋" w:eastAsia="仿宋"/>
          <w:b w:val="0"/>
          <w:bCs/>
          <w:color w:val="000000"/>
          <w:sz w:val="32"/>
          <w:szCs w:val="32"/>
        </w:rPr>
        <w:t>支出决算为</w:t>
      </w:r>
      <w:r>
        <w:rPr>
          <w:rStyle w:val="18"/>
          <w:rFonts w:hint="eastAsia" w:ascii="Times New Roman" w:hAnsi="Times New Roman" w:eastAsia="仿宋" w:cs="Times New Roman"/>
          <w:b w:val="0"/>
          <w:bCs/>
          <w:color w:val="000000"/>
          <w:sz w:val="32"/>
          <w:szCs w:val="32"/>
          <w:lang w:val="en-US" w:eastAsia="zh-CN"/>
        </w:rPr>
        <w:t>123.37</w:t>
      </w:r>
      <w:r>
        <w:rPr>
          <w:rStyle w:val="18"/>
          <w:rFonts w:hint="eastAsia" w:ascii="仿宋" w:hAnsi="仿宋" w:eastAsia="仿宋"/>
          <w:b w:val="0"/>
          <w:bCs/>
          <w:color w:val="000000"/>
          <w:sz w:val="32"/>
          <w:szCs w:val="32"/>
        </w:rPr>
        <w:t>万元，完成预算</w:t>
      </w:r>
      <w:r>
        <w:rPr>
          <w:rStyle w:val="18"/>
          <w:rFonts w:hint="eastAsia" w:ascii="Times New Roman" w:hAnsi="Times New Roman" w:eastAsia="仿宋" w:cs="Times New Roman"/>
          <w:b w:val="0"/>
          <w:bCs/>
          <w:color w:val="000000"/>
          <w:sz w:val="32"/>
          <w:szCs w:val="32"/>
          <w:lang w:val="en-US" w:eastAsia="zh-CN"/>
        </w:rPr>
        <w:t>100%</w:t>
      </w:r>
      <w:r>
        <w:rPr>
          <w:rStyle w:val="18"/>
          <w:rFonts w:hint="eastAsia" w:ascii="仿宋" w:hAnsi="仿宋" w:eastAsia="仿宋"/>
          <w:b w:val="0"/>
          <w:bCs/>
          <w:color w:val="000000"/>
          <w:sz w:val="32"/>
          <w:szCs w:val="32"/>
        </w:rPr>
        <w:t>。</w:t>
      </w:r>
    </w:p>
    <w:p w14:paraId="6A26323F">
      <w:pPr>
        <w:spacing w:line="600" w:lineRule="exact"/>
        <w:ind w:firstLine="640" w:firstLineChars="200"/>
        <w:rPr>
          <w:rStyle w:val="18"/>
          <w:rFonts w:ascii="仿宋" w:hAnsi="仿宋" w:eastAsia="仿宋"/>
          <w:b w:val="0"/>
          <w:bCs/>
          <w:color w:val="000000"/>
          <w:sz w:val="32"/>
          <w:szCs w:val="32"/>
        </w:rPr>
      </w:pPr>
      <w:r>
        <w:rPr>
          <w:rFonts w:hint="eastAsia" w:ascii="仿宋" w:hAnsi="仿宋" w:eastAsia="仿宋"/>
          <w:b w:val="0"/>
          <w:bCs/>
          <w:color w:val="000000"/>
          <w:sz w:val="32"/>
          <w:szCs w:val="32"/>
        </w:rPr>
        <w:t>6.</w:t>
      </w:r>
      <w:r>
        <w:rPr>
          <w:rStyle w:val="35"/>
          <w:rFonts w:hint="eastAsia" w:ascii="仿宋" w:hAnsi="仿宋" w:eastAsia="仿宋"/>
          <w:b w:val="0"/>
          <w:bCs/>
          <w:sz w:val="32"/>
          <w:szCs w:val="32"/>
        </w:rPr>
        <w:t>卫生健康支出（类）公共卫生（款）</w:t>
      </w:r>
      <w:r>
        <w:rPr>
          <w:rStyle w:val="36"/>
          <w:rFonts w:hint="eastAsia" w:ascii="仿宋" w:hAnsi="仿宋" w:eastAsia="仿宋"/>
          <w:b w:val="0"/>
          <w:bCs/>
          <w:sz w:val="32"/>
          <w:szCs w:val="32"/>
        </w:rPr>
        <w:t>重大公共卫生服务</w:t>
      </w:r>
      <w:r>
        <w:rPr>
          <w:rStyle w:val="35"/>
          <w:rFonts w:hint="eastAsia" w:ascii="仿宋" w:hAnsi="仿宋" w:eastAsia="仿宋"/>
          <w:b w:val="0"/>
          <w:bCs/>
          <w:sz w:val="32"/>
          <w:szCs w:val="32"/>
        </w:rPr>
        <w:t>（项）：</w:t>
      </w:r>
      <w:r>
        <w:rPr>
          <w:rStyle w:val="18"/>
          <w:rFonts w:hint="eastAsia" w:ascii="仿宋" w:hAnsi="仿宋" w:eastAsia="仿宋"/>
          <w:b w:val="0"/>
          <w:bCs/>
          <w:color w:val="000000"/>
          <w:sz w:val="32"/>
          <w:szCs w:val="32"/>
        </w:rPr>
        <w:t>支出决算为</w:t>
      </w:r>
      <w:r>
        <w:rPr>
          <w:rStyle w:val="18"/>
          <w:rFonts w:hint="eastAsia" w:ascii="Times New Roman" w:hAnsi="Times New Roman" w:eastAsia="仿宋" w:cs="Times New Roman"/>
          <w:b w:val="0"/>
          <w:bCs/>
          <w:color w:val="000000"/>
          <w:sz w:val="32"/>
          <w:szCs w:val="32"/>
          <w:lang w:val="en-US" w:eastAsia="zh-CN"/>
        </w:rPr>
        <w:t>479.13</w:t>
      </w:r>
      <w:r>
        <w:rPr>
          <w:rStyle w:val="18"/>
          <w:rFonts w:hint="eastAsia" w:ascii="仿宋" w:hAnsi="仿宋" w:eastAsia="仿宋"/>
          <w:b w:val="0"/>
          <w:bCs/>
          <w:color w:val="000000"/>
          <w:sz w:val="32"/>
          <w:szCs w:val="32"/>
        </w:rPr>
        <w:t>万元，完成预算</w:t>
      </w:r>
      <w:r>
        <w:rPr>
          <w:rStyle w:val="18"/>
          <w:rFonts w:hint="eastAsia" w:ascii="Times New Roman" w:hAnsi="Times New Roman" w:eastAsia="仿宋" w:cs="Times New Roman"/>
          <w:b w:val="0"/>
          <w:bCs/>
          <w:color w:val="000000"/>
          <w:sz w:val="32"/>
          <w:szCs w:val="32"/>
          <w:lang w:val="en-US" w:eastAsia="zh-CN"/>
        </w:rPr>
        <w:t>100%</w:t>
      </w:r>
      <w:r>
        <w:rPr>
          <w:rStyle w:val="18"/>
          <w:rFonts w:hint="eastAsia" w:ascii="仿宋" w:hAnsi="仿宋" w:eastAsia="仿宋"/>
          <w:b w:val="0"/>
          <w:bCs/>
          <w:color w:val="000000"/>
          <w:sz w:val="32"/>
          <w:szCs w:val="32"/>
        </w:rPr>
        <w:t>。</w:t>
      </w:r>
    </w:p>
    <w:p w14:paraId="12E3CAF6">
      <w:pPr>
        <w:spacing w:line="600" w:lineRule="exact"/>
        <w:ind w:firstLine="640" w:firstLineChars="200"/>
        <w:rPr>
          <w:rStyle w:val="18"/>
          <w:rFonts w:ascii="仿宋" w:hAnsi="仿宋" w:eastAsia="仿宋"/>
          <w:b w:val="0"/>
          <w:bCs/>
          <w:color w:val="000000"/>
          <w:sz w:val="32"/>
          <w:szCs w:val="32"/>
        </w:rPr>
      </w:pPr>
      <w:r>
        <w:rPr>
          <w:rFonts w:hint="eastAsia" w:ascii="仿宋" w:hAnsi="仿宋" w:eastAsia="仿宋"/>
          <w:b w:val="0"/>
          <w:bCs/>
          <w:color w:val="000000"/>
          <w:sz w:val="32"/>
          <w:szCs w:val="32"/>
        </w:rPr>
        <w:t>7.</w:t>
      </w:r>
      <w:r>
        <w:rPr>
          <w:rStyle w:val="35"/>
          <w:rFonts w:hint="eastAsia" w:ascii="仿宋" w:hAnsi="仿宋" w:eastAsia="仿宋"/>
          <w:b w:val="0"/>
          <w:bCs/>
          <w:sz w:val="32"/>
          <w:szCs w:val="32"/>
        </w:rPr>
        <w:t>卫生健康支出（类）公共卫生（款）</w:t>
      </w:r>
      <w:r>
        <w:rPr>
          <w:rStyle w:val="36"/>
          <w:rFonts w:hint="eastAsia" w:ascii="仿宋" w:hAnsi="仿宋" w:eastAsia="仿宋"/>
          <w:b w:val="0"/>
          <w:bCs/>
          <w:sz w:val="32"/>
          <w:szCs w:val="32"/>
        </w:rPr>
        <w:t>其他公共卫生支出</w:t>
      </w:r>
      <w:r>
        <w:rPr>
          <w:rStyle w:val="35"/>
          <w:rFonts w:hint="eastAsia" w:ascii="仿宋" w:hAnsi="仿宋" w:eastAsia="仿宋"/>
          <w:b w:val="0"/>
          <w:bCs/>
          <w:sz w:val="32"/>
          <w:szCs w:val="32"/>
        </w:rPr>
        <w:t>（项）：</w:t>
      </w:r>
      <w:r>
        <w:rPr>
          <w:rStyle w:val="18"/>
          <w:rFonts w:hint="eastAsia" w:ascii="仿宋" w:hAnsi="仿宋" w:eastAsia="仿宋"/>
          <w:b w:val="0"/>
          <w:bCs/>
          <w:color w:val="000000"/>
          <w:sz w:val="32"/>
          <w:szCs w:val="32"/>
        </w:rPr>
        <w:t>支出决算为</w:t>
      </w:r>
      <w:r>
        <w:rPr>
          <w:rStyle w:val="18"/>
          <w:rFonts w:hint="eastAsia" w:ascii="Times New Roman" w:hAnsi="Times New Roman" w:eastAsia="仿宋" w:cs="Times New Roman"/>
          <w:b w:val="0"/>
          <w:bCs/>
          <w:color w:val="000000"/>
          <w:sz w:val="32"/>
          <w:szCs w:val="32"/>
          <w:lang w:val="en-US" w:eastAsia="zh-CN"/>
        </w:rPr>
        <w:t>3.73</w:t>
      </w:r>
      <w:r>
        <w:rPr>
          <w:rStyle w:val="18"/>
          <w:rFonts w:hint="eastAsia" w:ascii="仿宋" w:hAnsi="仿宋" w:eastAsia="仿宋"/>
          <w:b w:val="0"/>
          <w:bCs/>
          <w:color w:val="000000"/>
          <w:sz w:val="32"/>
          <w:szCs w:val="32"/>
        </w:rPr>
        <w:t>万元，完成预算</w:t>
      </w:r>
      <w:r>
        <w:rPr>
          <w:rStyle w:val="18"/>
          <w:rFonts w:hint="eastAsia" w:ascii="Times New Roman" w:hAnsi="Times New Roman" w:eastAsia="仿宋" w:cs="Times New Roman"/>
          <w:b w:val="0"/>
          <w:bCs/>
          <w:color w:val="000000"/>
          <w:sz w:val="32"/>
          <w:szCs w:val="32"/>
          <w:lang w:val="en-US" w:eastAsia="zh-CN"/>
        </w:rPr>
        <w:t>100%</w:t>
      </w:r>
      <w:r>
        <w:rPr>
          <w:rStyle w:val="18"/>
          <w:rFonts w:hint="eastAsia" w:ascii="仿宋" w:hAnsi="仿宋" w:eastAsia="仿宋"/>
          <w:b w:val="0"/>
          <w:bCs/>
          <w:color w:val="000000"/>
          <w:sz w:val="32"/>
          <w:szCs w:val="32"/>
        </w:rPr>
        <w:t>。</w:t>
      </w:r>
    </w:p>
    <w:p w14:paraId="0846FCB7">
      <w:pPr>
        <w:spacing w:line="600" w:lineRule="exact"/>
        <w:ind w:firstLine="640" w:firstLineChars="200"/>
        <w:rPr>
          <w:rStyle w:val="18"/>
          <w:rFonts w:ascii="仿宋" w:hAnsi="仿宋" w:eastAsia="仿宋"/>
          <w:b w:val="0"/>
          <w:bCs/>
          <w:color w:val="000000"/>
          <w:sz w:val="32"/>
          <w:szCs w:val="32"/>
        </w:rPr>
      </w:pPr>
      <w:r>
        <w:rPr>
          <w:rFonts w:hint="eastAsia" w:ascii="仿宋" w:hAnsi="仿宋" w:eastAsia="仿宋"/>
          <w:b w:val="0"/>
          <w:bCs/>
          <w:color w:val="000000"/>
          <w:sz w:val="32"/>
          <w:szCs w:val="32"/>
        </w:rPr>
        <w:t>8.</w:t>
      </w:r>
      <w:r>
        <w:rPr>
          <w:rStyle w:val="35"/>
          <w:rFonts w:hint="eastAsia" w:ascii="仿宋" w:hAnsi="仿宋" w:eastAsia="仿宋"/>
          <w:b w:val="0"/>
          <w:bCs/>
          <w:sz w:val="32"/>
          <w:szCs w:val="32"/>
        </w:rPr>
        <w:t>卫生健康支出（类）行政事业单位医疗（款）</w:t>
      </w:r>
      <w:r>
        <w:rPr>
          <w:rStyle w:val="36"/>
          <w:rFonts w:hint="eastAsia" w:ascii="仿宋" w:hAnsi="仿宋" w:eastAsia="仿宋"/>
          <w:b w:val="0"/>
          <w:bCs/>
          <w:sz w:val="32"/>
          <w:szCs w:val="32"/>
        </w:rPr>
        <w:t>事业单位医疗</w:t>
      </w:r>
      <w:r>
        <w:rPr>
          <w:rStyle w:val="35"/>
          <w:rFonts w:hint="eastAsia" w:ascii="仿宋" w:hAnsi="仿宋" w:eastAsia="仿宋"/>
          <w:b w:val="0"/>
          <w:bCs/>
          <w:sz w:val="32"/>
          <w:szCs w:val="32"/>
        </w:rPr>
        <w:t>（项）：</w:t>
      </w:r>
      <w:r>
        <w:rPr>
          <w:rStyle w:val="18"/>
          <w:rFonts w:hint="eastAsia" w:ascii="仿宋" w:hAnsi="仿宋" w:eastAsia="仿宋"/>
          <w:b w:val="0"/>
          <w:bCs/>
          <w:color w:val="000000"/>
          <w:sz w:val="32"/>
          <w:szCs w:val="32"/>
        </w:rPr>
        <w:t>支出决算为</w:t>
      </w:r>
      <w:r>
        <w:rPr>
          <w:rStyle w:val="18"/>
          <w:rFonts w:hint="eastAsia" w:ascii="Times New Roman" w:hAnsi="Times New Roman" w:eastAsia="仿宋" w:cs="Times New Roman"/>
          <w:b w:val="0"/>
          <w:bCs/>
          <w:color w:val="000000"/>
          <w:sz w:val="32"/>
          <w:szCs w:val="32"/>
          <w:lang w:val="en-US" w:eastAsia="zh-CN"/>
        </w:rPr>
        <w:t>80.46</w:t>
      </w:r>
      <w:r>
        <w:rPr>
          <w:rStyle w:val="18"/>
          <w:rFonts w:hint="eastAsia" w:ascii="仿宋" w:hAnsi="仿宋" w:eastAsia="仿宋"/>
          <w:b w:val="0"/>
          <w:bCs/>
          <w:color w:val="000000"/>
          <w:sz w:val="32"/>
          <w:szCs w:val="32"/>
        </w:rPr>
        <w:t>万元，完成预算</w:t>
      </w:r>
      <w:r>
        <w:rPr>
          <w:rStyle w:val="18"/>
          <w:rFonts w:hint="eastAsia" w:ascii="Times New Roman" w:hAnsi="Times New Roman" w:eastAsia="仿宋" w:cs="Times New Roman"/>
          <w:b w:val="0"/>
          <w:bCs/>
          <w:color w:val="000000"/>
          <w:sz w:val="32"/>
          <w:szCs w:val="32"/>
          <w:lang w:val="en-US" w:eastAsia="zh-CN"/>
        </w:rPr>
        <w:t>100%</w:t>
      </w:r>
      <w:r>
        <w:rPr>
          <w:rStyle w:val="18"/>
          <w:rFonts w:hint="eastAsia" w:ascii="仿宋" w:hAnsi="仿宋" w:eastAsia="仿宋"/>
          <w:b w:val="0"/>
          <w:bCs/>
          <w:color w:val="000000"/>
          <w:sz w:val="32"/>
          <w:szCs w:val="32"/>
        </w:rPr>
        <w:t>。</w:t>
      </w:r>
    </w:p>
    <w:p w14:paraId="545B4638">
      <w:pPr>
        <w:spacing w:line="600" w:lineRule="exact"/>
        <w:ind w:firstLine="640" w:firstLineChars="200"/>
        <w:rPr>
          <w:rStyle w:val="18"/>
          <w:rFonts w:ascii="仿宋" w:hAnsi="仿宋" w:eastAsia="仿宋"/>
          <w:b w:val="0"/>
          <w:bCs/>
          <w:color w:val="000000"/>
          <w:sz w:val="32"/>
          <w:szCs w:val="32"/>
        </w:rPr>
      </w:pPr>
      <w:r>
        <w:rPr>
          <w:rFonts w:hint="eastAsia" w:ascii="仿宋" w:hAnsi="仿宋" w:eastAsia="仿宋"/>
          <w:b w:val="0"/>
          <w:bCs/>
          <w:color w:val="000000"/>
          <w:sz w:val="32"/>
          <w:szCs w:val="32"/>
        </w:rPr>
        <w:t>9.</w:t>
      </w:r>
      <w:r>
        <w:rPr>
          <w:rStyle w:val="35"/>
          <w:rFonts w:hint="eastAsia" w:ascii="仿宋" w:hAnsi="仿宋" w:eastAsia="仿宋"/>
          <w:b w:val="0"/>
          <w:bCs/>
          <w:sz w:val="32"/>
          <w:szCs w:val="32"/>
        </w:rPr>
        <w:t>卫生健康支出（类）其他卫生健康支出（款）其他卫生健康支出（项）：</w:t>
      </w:r>
      <w:r>
        <w:rPr>
          <w:rStyle w:val="18"/>
          <w:rFonts w:hint="eastAsia" w:ascii="仿宋" w:hAnsi="仿宋" w:eastAsia="仿宋"/>
          <w:b w:val="0"/>
          <w:bCs/>
          <w:color w:val="000000"/>
          <w:sz w:val="32"/>
          <w:szCs w:val="32"/>
        </w:rPr>
        <w:t>支出决算为</w:t>
      </w:r>
      <w:r>
        <w:rPr>
          <w:rStyle w:val="18"/>
          <w:rFonts w:hint="eastAsia" w:ascii="Times New Roman" w:hAnsi="Times New Roman" w:eastAsia="仿宋" w:cs="Times New Roman"/>
          <w:b w:val="0"/>
          <w:bCs/>
          <w:color w:val="000000"/>
          <w:sz w:val="32"/>
          <w:szCs w:val="32"/>
          <w:lang w:val="en-US" w:eastAsia="zh-CN"/>
        </w:rPr>
        <w:t>354.63</w:t>
      </w:r>
      <w:r>
        <w:rPr>
          <w:rStyle w:val="18"/>
          <w:rFonts w:hint="eastAsia" w:ascii="仿宋" w:hAnsi="仿宋" w:eastAsia="仿宋"/>
          <w:b w:val="0"/>
          <w:bCs/>
          <w:color w:val="000000"/>
          <w:sz w:val="32"/>
          <w:szCs w:val="32"/>
        </w:rPr>
        <w:t>万元，完成预算</w:t>
      </w:r>
      <w:r>
        <w:rPr>
          <w:rStyle w:val="18"/>
          <w:rFonts w:hint="eastAsia" w:ascii="Times New Roman" w:hAnsi="Times New Roman" w:eastAsia="仿宋" w:cs="Times New Roman"/>
          <w:b w:val="0"/>
          <w:bCs/>
          <w:color w:val="000000"/>
          <w:sz w:val="32"/>
          <w:szCs w:val="32"/>
          <w:lang w:val="en-US" w:eastAsia="zh-CN"/>
        </w:rPr>
        <w:t>100%。</w:t>
      </w:r>
    </w:p>
    <w:p w14:paraId="417F7F2C">
      <w:pPr>
        <w:spacing w:line="600" w:lineRule="exact"/>
        <w:ind w:firstLine="640" w:firstLineChars="200"/>
        <w:rPr>
          <w:rStyle w:val="18"/>
          <w:rFonts w:ascii="仿宋" w:hAnsi="仿宋" w:eastAsia="仿宋"/>
          <w:b w:val="0"/>
          <w:bCs/>
          <w:color w:val="000000"/>
          <w:sz w:val="32"/>
          <w:szCs w:val="32"/>
        </w:rPr>
      </w:pPr>
      <w:r>
        <w:rPr>
          <w:rFonts w:hint="eastAsia" w:ascii="仿宋" w:hAnsi="仿宋" w:eastAsia="仿宋"/>
          <w:b w:val="0"/>
          <w:bCs/>
          <w:color w:val="000000"/>
          <w:sz w:val="32"/>
          <w:szCs w:val="32"/>
        </w:rPr>
        <w:t>1</w:t>
      </w:r>
      <w:r>
        <w:rPr>
          <w:rFonts w:hint="eastAsia" w:ascii="仿宋" w:hAnsi="仿宋" w:eastAsia="仿宋"/>
          <w:b w:val="0"/>
          <w:bCs/>
          <w:color w:val="000000"/>
          <w:sz w:val="32"/>
          <w:szCs w:val="32"/>
          <w:lang w:val="en-US" w:eastAsia="zh-CN"/>
        </w:rPr>
        <w:t>0</w:t>
      </w:r>
      <w:r>
        <w:rPr>
          <w:rFonts w:hint="eastAsia" w:ascii="仿宋" w:hAnsi="仿宋" w:eastAsia="仿宋"/>
          <w:b w:val="0"/>
          <w:bCs/>
          <w:color w:val="000000"/>
          <w:sz w:val="32"/>
          <w:szCs w:val="32"/>
        </w:rPr>
        <w:t>.</w:t>
      </w:r>
      <w:r>
        <w:rPr>
          <w:rStyle w:val="35"/>
          <w:rFonts w:hint="eastAsia" w:ascii="仿宋" w:hAnsi="仿宋" w:eastAsia="仿宋"/>
          <w:b w:val="0"/>
          <w:bCs/>
          <w:sz w:val="32"/>
          <w:szCs w:val="32"/>
        </w:rPr>
        <w:t>住房保障支出（类）住房改革支出（款）</w:t>
      </w:r>
      <w:r>
        <w:rPr>
          <w:rStyle w:val="36"/>
          <w:rFonts w:hint="eastAsia" w:ascii="仿宋" w:hAnsi="仿宋" w:eastAsia="仿宋"/>
          <w:b w:val="0"/>
          <w:bCs/>
          <w:sz w:val="32"/>
          <w:szCs w:val="32"/>
        </w:rPr>
        <w:t>住房公积金</w:t>
      </w:r>
      <w:r>
        <w:rPr>
          <w:rStyle w:val="35"/>
          <w:rFonts w:hint="eastAsia" w:ascii="仿宋" w:hAnsi="仿宋" w:eastAsia="仿宋"/>
          <w:b w:val="0"/>
          <w:bCs/>
          <w:sz w:val="32"/>
          <w:szCs w:val="32"/>
        </w:rPr>
        <w:t>（项）：</w:t>
      </w:r>
      <w:r>
        <w:rPr>
          <w:rStyle w:val="18"/>
          <w:rFonts w:hint="eastAsia" w:ascii="仿宋" w:hAnsi="仿宋" w:eastAsia="仿宋"/>
          <w:b w:val="0"/>
          <w:bCs/>
          <w:color w:val="000000"/>
          <w:sz w:val="32"/>
          <w:szCs w:val="32"/>
        </w:rPr>
        <w:t>支出决算为</w:t>
      </w:r>
      <w:r>
        <w:rPr>
          <w:rStyle w:val="18"/>
          <w:rFonts w:hint="eastAsia" w:ascii="Times New Roman" w:hAnsi="Times New Roman" w:eastAsia="仿宋" w:cs="Times New Roman"/>
          <w:b w:val="0"/>
          <w:bCs/>
          <w:color w:val="000000"/>
          <w:sz w:val="32"/>
          <w:szCs w:val="32"/>
          <w:lang w:val="en-US" w:eastAsia="zh-CN"/>
        </w:rPr>
        <w:t>147.12</w:t>
      </w:r>
      <w:r>
        <w:rPr>
          <w:rStyle w:val="18"/>
          <w:rFonts w:hint="eastAsia" w:ascii="仿宋" w:hAnsi="仿宋" w:eastAsia="仿宋"/>
          <w:b w:val="0"/>
          <w:bCs/>
          <w:color w:val="000000"/>
          <w:sz w:val="32"/>
          <w:szCs w:val="32"/>
        </w:rPr>
        <w:t>万元，完成预算</w:t>
      </w:r>
      <w:r>
        <w:rPr>
          <w:rStyle w:val="18"/>
          <w:rFonts w:hint="eastAsia" w:ascii="Times New Roman" w:hAnsi="Times New Roman" w:eastAsia="仿宋" w:cs="Times New Roman"/>
          <w:b w:val="0"/>
          <w:bCs/>
          <w:color w:val="000000"/>
          <w:sz w:val="32"/>
          <w:szCs w:val="32"/>
          <w:lang w:val="en-US" w:eastAsia="zh-CN"/>
        </w:rPr>
        <w:t>100%</w:t>
      </w:r>
      <w:r>
        <w:rPr>
          <w:rStyle w:val="18"/>
          <w:rFonts w:hint="eastAsia" w:ascii="仿宋" w:hAnsi="仿宋" w:eastAsia="仿宋"/>
          <w:b w:val="0"/>
          <w:bCs/>
          <w:color w:val="000000"/>
          <w:sz w:val="32"/>
          <w:szCs w:val="32"/>
        </w:rPr>
        <w:t>。</w:t>
      </w:r>
    </w:p>
    <w:p w14:paraId="5BF5AF19">
      <w:pPr>
        <w:tabs>
          <w:tab w:val="right" w:pos="8306"/>
        </w:tabs>
        <w:spacing w:line="600" w:lineRule="exact"/>
        <w:ind w:firstLine="640"/>
        <w:outlineLvl w:val="1"/>
        <w:rPr>
          <w:rStyle w:val="30"/>
          <w:color w:val="auto"/>
          <w:highlight w:val="none"/>
        </w:rPr>
      </w:pPr>
      <w:bookmarkStart w:id="75" w:name="_Toc1942"/>
      <w:bookmarkStart w:id="76" w:name="_Toc15377214"/>
      <w:bookmarkStart w:id="77" w:name="_Toc15396608"/>
      <w:bookmarkStart w:id="78" w:name="_Toc3592"/>
      <w:bookmarkStart w:id="79" w:name="_Toc200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75"/>
      <w:bookmarkEnd w:id="76"/>
      <w:bookmarkEnd w:id="77"/>
      <w:bookmarkEnd w:id="78"/>
      <w:bookmarkEnd w:id="79"/>
      <w:r>
        <w:rPr>
          <w:rStyle w:val="30"/>
          <w:rFonts w:ascii="黑体" w:hAnsi="黑体" w:eastAsia="黑体"/>
          <w:b w:val="0"/>
          <w:color w:val="auto"/>
          <w:highlight w:val="none"/>
        </w:rPr>
        <w:tab/>
      </w:r>
    </w:p>
    <w:p w14:paraId="577167C5">
      <w:pPr>
        <w:spacing w:line="600" w:lineRule="exact"/>
        <w:ind w:firstLine="645"/>
        <w:rPr>
          <w:rFonts w:ascii="仿宋" w:hAnsi="仿宋" w:eastAsia="仿宋"/>
          <w:color w:val="auto"/>
          <w:sz w:val="32"/>
          <w:szCs w:val="32"/>
          <w:highlight w:val="none"/>
        </w:rPr>
      </w:pPr>
      <w:r>
        <w:rPr>
          <w:rStyle w:val="18"/>
          <w:rFonts w:hint="default" w:ascii="Times New Roman" w:hAnsi="Times New Roman" w:eastAsia="仿宋" w:cs="Times New Roman"/>
          <w:b w:val="0"/>
          <w:bCs/>
          <w:color w:val="000000"/>
          <w:sz w:val="32"/>
          <w:szCs w:val="32"/>
          <w:lang w:val="en-US" w:eastAsia="zh-CN"/>
        </w:rPr>
        <w:t>20</w:t>
      </w:r>
      <w:r>
        <w:rPr>
          <w:rStyle w:val="18"/>
          <w:rFonts w:hint="eastAsia" w:ascii="Times New Roman" w:hAnsi="Times New Roman" w:eastAsia="仿宋" w:cs="Times New Roman"/>
          <w:b w:val="0"/>
          <w:bCs/>
          <w:color w:val="000000"/>
          <w:sz w:val="32"/>
          <w:szCs w:val="32"/>
          <w:lang w:val="en-US" w:eastAsia="zh-CN"/>
        </w:rPr>
        <w:t>24</w:t>
      </w:r>
      <w:r>
        <w:rPr>
          <w:rFonts w:hint="eastAsia" w:ascii="仿宋" w:hAnsi="仿宋" w:eastAsia="仿宋"/>
          <w:color w:val="auto"/>
          <w:sz w:val="32"/>
          <w:szCs w:val="32"/>
          <w:highlight w:val="none"/>
        </w:rPr>
        <w:t>年一般公共预算财政拨款基本支出</w:t>
      </w:r>
      <w:r>
        <w:rPr>
          <w:rStyle w:val="18"/>
          <w:rFonts w:hint="eastAsia" w:ascii="Times New Roman" w:hAnsi="Times New Roman" w:eastAsia="仿宋" w:cs="Times New Roman"/>
          <w:b w:val="0"/>
          <w:bCs/>
          <w:color w:val="000000"/>
          <w:sz w:val="32"/>
          <w:szCs w:val="32"/>
          <w:lang w:val="en-US" w:eastAsia="zh-CN"/>
        </w:rPr>
        <w:t>2,179.88</w:t>
      </w:r>
      <w:r>
        <w:rPr>
          <w:rFonts w:hint="eastAsia" w:ascii="仿宋" w:hAnsi="仿宋" w:eastAsia="仿宋"/>
          <w:color w:val="auto"/>
          <w:sz w:val="32"/>
          <w:szCs w:val="32"/>
          <w:highlight w:val="none"/>
        </w:rPr>
        <w:t>万元，其中：</w:t>
      </w:r>
    </w:p>
    <w:p w14:paraId="3B6B8B79">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Style w:val="18"/>
          <w:rFonts w:hint="eastAsia" w:ascii="Times New Roman" w:hAnsi="Times New Roman" w:eastAsia="仿宋" w:cs="Times New Roman"/>
          <w:b w:val="0"/>
          <w:bCs/>
          <w:color w:val="000000"/>
          <w:sz w:val="32"/>
          <w:szCs w:val="32"/>
          <w:lang w:val="en-US" w:eastAsia="zh-CN"/>
        </w:rPr>
        <w:t>1,886.62</w:t>
      </w:r>
      <w:r>
        <w:rPr>
          <w:rFonts w:hint="eastAsia" w:ascii="仿宋" w:hAnsi="仿宋" w:eastAsia="仿宋"/>
          <w:color w:val="auto"/>
          <w:sz w:val="32"/>
          <w:szCs w:val="32"/>
          <w:highlight w:val="none"/>
        </w:rPr>
        <w:t>万元，主要包括：基本工资、津贴补贴、奖金、绩效工资、机关事业单位基本养老保险缴费、职业年金缴费、其他社会保障缴费、其他工资福利支出、抚恤金、住房公积金、其他对个人和家庭的补助支出。</w:t>
      </w:r>
    </w:p>
    <w:p w14:paraId="6D6702DE">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Style w:val="18"/>
          <w:rFonts w:hint="eastAsia" w:ascii="Times New Roman" w:hAnsi="Times New Roman" w:eastAsia="仿宋" w:cs="Times New Roman"/>
          <w:b w:val="0"/>
          <w:bCs/>
          <w:color w:val="000000"/>
          <w:sz w:val="32"/>
          <w:szCs w:val="32"/>
          <w:lang w:val="en-US" w:eastAsia="zh-CN"/>
        </w:rPr>
        <w:t>293.26</w:t>
      </w:r>
      <w:r>
        <w:rPr>
          <w:rFonts w:hint="eastAsia" w:ascii="仿宋" w:hAnsi="仿宋" w:eastAsia="仿宋"/>
          <w:color w:val="auto"/>
          <w:sz w:val="32"/>
          <w:szCs w:val="32"/>
          <w:highlight w:val="none"/>
        </w:rPr>
        <w:t>万元，主要包括：办公费、印刷费、水费、电费、邮电费、物业管理费、差旅费、维修（护）费、会议费、培训费、公务接待费、劳务费、委托业务费、工会经费、福利费、公务用车运行维护费、其他交通费、其他商品和服务支出</w:t>
      </w:r>
      <w:r>
        <w:rPr>
          <w:rFonts w:hint="eastAsia" w:ascii="仿宋" w:hAnsi="仿宋" w:eastAsia="仿宋"/>
          <w:color w:val="auto"/>
          <w:sz w:val="32"/>
          <w:szCs w:val="32"/>
          <w:highlight w:val="none"/>
          <w:lang w:eastAsia="zh-CN"/>
        </w:rPr>
        <w:t>。</w:t>
      </w:r>
    </w:p>
    <w:p w14:paraId="426D868A">
      <w:pPr>
        <w:spacing w:line="600" w:lineRule="exact"/>
        <w:ind w:firstLine="640"/>
        <w:outlineLvl w:val="1"/>
        <w:rPr>
          <w:rStyle w:val="30"/>
          <w:rFonts w:ascii="黑体" w:hAnsi="黑体" w:eastAsia="黑体"/>
          <w:b w:val="0"/>
          <w:color w:val="auto"/>
          <w:highlight w:val="none"/>
        </w:rPr>
      </w:pPr>
      <w:bookmarkStart w:id="80" w:name="_Toc15396609"/>
      <w:bookmarkStart w:id="81" w:name="_Toc15377215"/>
      <w:bookmarkStart w:id="82" w:name="_Toc2857"/>
      <w:bookmarkStart w:id="83" w:name="_Toc9698"/>
      <w:bookmarkStart w:id="84" w:name="_Toc20015"/>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80"/>
      <w:bookmarkEnd w:id="81"/>
      <w:bookmarkEnd w:id="82"/>
      <w:bookmarkEnd w:id="83"/>
      <w:bookmarkEnd w:id="84"/>
    </w:p>
    <w:p w14:paraId="1BE12D6E">
      <w:pPr>
        <w:spacing w:line="600" w:lineRule="exact"/>
        <w:ind w:firstLine="640"/>
        <w:outlineLvl w:val="2"/>
        <w:rPr>
          <w:rFonts w:ascii="仿宋" w:hAnsi="仿宋" w:eastAsia="仿宋"/>
          <w:b w:val="0"/>
          <w:bCs/>
          <w:color w:val="auto"/>
          <w:sz w:val="32"/>
          <w:szCs w:val="32"/>
          <w:highlight w:val="none"/>
        </w:rPr>
      </w:pPr>
      <w:bookmarkStart w:id="85" w:name="_Toc15377216"/>
      <w:r>
        <w:rPr>
          <w:rFonts w:hint="eastAsia" w:ascii="仿宋" w:hAnsi="仿宋" w:eastAsia="仿宋"/>
          <w:b w:val="0"/>
          <w:bCs/>
          <w:color w:val="auto"/>
          <w:sz w:val="32"/>
          <w:szCs w:val="32"/>
          <w:highlight w:val="none"/>
        </w:rPr>
        <w:t>（一）“三公”经费财政拨款支出决算总体情况说明</w:t>
      </w:r>
      <w:bookmarkEnd w:id="85"/>
    </w:p>
    <w:p w14:paraId="7A8E3FA1">
      <w:pPr>
        <w:spacing w:line="600" w:lineRule="exact"/>
        <w:ind w:firstLine="640"/>
        <w:rPr>
          <w:rFonts w:ascii="仿宋" w:hAnsi="仿宋" w:eastAsia="仿宋"/>
          <w:b/>
          <w:color w:val="auto"/>
          <w:sz w:val="32"/>
          <w:szCs w:val="32"/>
          <w:highlight w:val="none"/>
        </w:rPr>
      </w:pPr>
      <w:r>
        <w:rPr>
          <w:rStyle w:val="18"/>
          <w:rFonts w:hint="default" w:ascii="Times New Roman" w:hAnsi="Times New Roman" w:eastAsia="仿宋" w:cs="Times New Roman"/>
          <w:b w:val="0"/>
          <w:bCs/>
          <w:color w:val="000000"/>
          <w:sz w:val="32"/>
          <w:szCs w:val="32"/>
          <w:lang w:val="en-US" w:eastAsia="zh-CN"/>
        </w:rPr>
        <w:t>20</w:t>
      </w:r>
      <w:r>
        <w:rPr>
          <w:rStyle w:val="18"/>
          <w:rFonts w:hint="eastAsia" w:ascii="Times New Roman" w:hAnsi="Times New Roman" w:eastAsia="仿宋" w:cs="Times New Roman"/>
          <w:b w:val="0"/>
          <w:bCs/>
          <w:color w:val="000000"/>
          <w:sz w:val="32"/>
          <w:szCs w:val="32"/>
          <w:lang w:val="en-US" w:eastAsia="zh-CN"/>
        </w:rPr>
        <w:t>24</w:t>
      </w:r>
      <w:r>
        <w:rPr>
          <w:rFonts w:hint="eastAsia" w:ascii="仿宋" w:hAnsi="仿宋" w:eastAsia="仿宋"/>
          <w:color w:val="auto"/>
          <w:sz w:val="32"/>
          <w:szCs w:val="32"/>
          <w:highlight w:val="none"/>
        </w:rPr>
        <w:t>年“三公”经费财政拨款支出决算为</w:t>
      </w:r>
      <w:r>
        <w:rPr>
          <w:rStyle w:val="18"/>
          <w:rFonts w:hint="eastAsia" w:ascii="Times New Roman" w:hAnsi="Times New Roman" w:eastAsia="仿宋" w:cs="Times New Roman"/>
          <w:b w:val="0"/>
          <w:bCs/>
          <w:color w:val="000000"/>
          <w:sz w:val="32"/>
          <w:szCs w:val="32"/>
          <w:lang w:val="en-US" w:eastAsia="zh-CN"/>
        </w:rPr>
        <w:t>27.95</w:t>
      </w:r>
      <w:r>
        <w:rPr>
          <w:rFonts w:hint="eastAsia" w:ascii="仿宋" w:hAnsi="仿宋" w:eastAsia="仿宋"/>
          <w:color w:val="auto"/>
          <w:sz w:val="32"/>
          <w:szCs w:val="32"/>
          <w:highlight w:val="none"/>
        </w:rPr>
        <w:t>万元，完成预算</w:t>
      </w:r>
      <w:r>
        <w:rPr>
          <w:rStyle w:val="18"/>
          <w:rFonts w:hint="eastAsia" w:ascii="Times New Roman" w:hAnsi="Times New Roman" w:eastAsia="仿宋" w:cs="Times New Roman"/>
          <w:b w:val="0"/>
          <w:bCs/>
          <w:color w:val="000000"/>
          <w:sz w:val="32"/>
          <w:szCs w:val="32"/>
          <w:lang w:val="en-US" w:eastAsia="zh-CN"/>
        </w:rPr>
        <w:t>98.07</w:t>
      </w:r>
      <w:r>
        <w:rPr>
          <w:rStyle w:val="18"/>
          <w:rFonts w:hint="default" w:ascii="Times New Roman" w:hAnsi="Times New Roman" w:eastAsia="仿宋" w:cs="Times New Roman"/>
          <w:b w:val="0"/>
          <w:bCs/>
          <w:color w:val="000000"/>
          <w:sz w:val="32"/>
          <w:szCs w:val="32"/>
          <w:lang w:val="en-US" w:eastAsia="zh-CN"/>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Style w:val="18"/>
          <w:rFonts w:hint="eastAsia" w:ascii="Times New Roman" w:hAnsi="Times New Roman" w:eastAsia="仿宋" w:cs="Times New Roman"/>
          <w:b w:val="0"/>
          <w:bCs/>
          <w:color w:val="000000"/>
          <w:sz w:val="32"/>
          <w:szCs w:val="32"/>
          <w:lang w:val="en-US" w:eastAsia="zh-CN"/>
        </w:rPr>
        <w:t>1.48</w:t>
      </w:r>
      <w:r>
        <w:rPr>
          <w:rFonts w:hint="eastAsia" w:ascii="仿宋" w:hAnsi="仿宋" w:eastAsia="仿宋"/>
          <w:color w:val="auto"/>
          <w:sz w:val="32"/>
          <w:szCs w:val="32"/>
          <w:highlight w:val="none"/>
          <w:lang w:val="en-US" w:eastAsia="zh-CN"/>
        </w:rPr>
        <w:t>万元，同比增长</w:t>
      </w:r>
      <w:r>
        <w:rPr>
          <w:rStyle w:val="18"/>
          <w:rFonts w:hint="eastAsia" w:ascii="Times New Roman" w:hAnsi="Times New Roman" w:eastAsia="仿宋" w:cs="Times New Roman"/>
          <w:b w:val="0"/>
          <w:bCs/>
          <w:color w:val="000000"/>
          <w:sz w:val="32"/>
          <w:szCs w:val="32"/>
          <w:lang w:val="en-US" w:eastAsia="zh-CN"/>
        </w:rPr>
        <w:t>5.59%</w:t>
      </w:r>
      <w:r>
        <w:rPr>
          <w:rFonts w:hint="eastAsia" w:ascii="仿宋" w:hAnsi="仿宋" w:eastAsia="仿宋"/>
          <w:color w:val="auto"/>
          <w:sz w:val="32"/>
          <w:szCs w:val="32"/>
          <w:highlight w:val="none"/>
          <w:lang w:val="en-US" w:eastAsia="zh-CN"/>
        </w:rPr>
        <w:t>。</w:t>
      </w:r>
    </w:p>
    <w:p w14:paraId="482D9334">
      <w:pPr>
        <w:spacing w:line="600" w:lineRule="exact"/>
        <w:ind w:firstLine="640"/>
        <w:outlineLvl w:val="2"/>
        <w:rPr>
          <w:rFonts w:ascii="仿宋" w:hAnsi="仿宋" w:eastAsia="仿宋"/>
          <w:b w:val="0"/>
          <w:bCs/>
          <w:color w:val="auto"/>
          <w:sz w:val="32"/>
          <w:szCs w:val="32"/>
          <w:highlight w:val="none"/>
        </w:rPr>
      </w:pPr>
      <w:bookmarkStart w:id="86" w:name="_Toc15377217"/>
      <w:r>
        <w:rPr>
          <w:rFonts w:hint="eastAsia" w:ascii="仿宋" w:hAnsi="仿宋" w:eastAsia="仿宋"/>
          <w:b w:val="0"/>
          <w:bCs/>
          <w:color w:val="auto"/>
          <w:sz w:val="32"/>
          <w:szCs w:val="32"/>
          <w:highlight w:val="none"/>
        </w:rPr>
        <w:t>（二）“三公”经费财政拨款支出决算具体情况说明</w:t>
      </w:r>
      <w:bookmarkEnd w:id="86"/>
    </w:p>
    <w:p w14:paraId="4D7EAA9B">
      <w:pPr>
        <w:spacing w:line="600" w:lineRule="exact"/>
        <w:ind w:firstLine="640" w:firstLineChars="200"/>
        <w:rPr>
          <w:rFonts w:hint="eastAsia" w:ascii="仿宋" w:hAnsi="仿宋" w:eastAsia="仿宋"/>
          <w:color w:val="auto"/>
          <w:sz w:val="32"/>
          <w:szCs w:val="32"/>
          <w:highlight w:val="none"/>
        </w:rPr>
      </w:pPr>
      <w:r>
        <w:rPr>
          <w:rStyle w:val="18"/>
          <w:rFonts w:hint="default" w:ascii="Times New Roman" w:hAnsi="Times New Roman" w:eastAsia="仿宋" w:cs="Times New Roman"/>
          <w:b w:val="0"/>
          <w:bCs/>
          <w:color w:val="000000"/>
          <w:sz w:val="32"/>
          <w:szCs w:val="32"/>
          <w:lang w:val="en-US" w:eastAsia="zh-CN"/>
        </w:rPr>
        <w:t>20</w:t>
      </w:r>
      <w:r>
        <w:rPr>
          <w:rStyle w:val="18"/>
          <w:rFonts w:hint="eastAsia" w:ascii="Times New Roman" w:hAnsi="Times New Roman" w:eastAsia="仿宋" w:cs="Times New Roman"/>
          <w:b w:val="0"/>
          <w:bCs/>
          <w:color w:val="000000"/>
          <w:sz w:val="32"/>
          <w:szCs w:val="32"/>
          <w:lang w:val="en-US" w:eastAsia="zh-CN"/>
        </w:rPr>
        <w:t>24</w:t>
      </w:r>
      <w:r>
        <w:rPr>
          <w:rFonts w:hint="eastAsia" w:ascii="仿宋" w:hAnsi="仿宋" w:eastAsia="仿宋"/>
          <w:color w:val="auto"/>
          <w:sz w:val="32"/>
          <w:szCs w:val="32"/>
          <w:highlight w:val="none"/>
        </w:rPr>
        <w:t>年“三公”经费财政拨款支出决算中，公务用车购置及运行维护费支出决算</w:t>
      </w:r>
      <w:r>
        <w:rPr>
          <w:rStyle w:val="18"/>
          <w:rFonts w:hint="eastAsia" w:ascii="Times New Roman" w:hAnsi="Times New Roman" w:eastAsia="仿宋" w:cs="Times New Roman"/>
          <w:b w:val="0"/>
          <w:bCs/>
          <w:color w:val="000000"/>
          <w:sz w:val="32"/>
          <w:szCs w:val="32"/>
          <w:lang w:val="en-US" w:eastAsia="zh-CN"/>
        </w:rPr>
        <w:t>25.45</w:t>
      </w:r>
      <w:r>
        <w:rPr>
          <w:rFonts w:hint="eastAsia" w:ascii="仿宋" w:hAnsi="仿宋" w:eastAsia="仿宋"/>
          <w:color w:val="auto"/>
          <w:sz w:val="32"/>
          <w:szCs w:val="32"/>
          <w:highlight w:val="none"/>
        </w:rPr>
        <w:t>万元，占</w:t>
      </w:r>
      <w:r>
        <w:rPr>
          <w:rStyle w:val="18"/>
          <w:rFonts w:hint="eastAsia" w:ascii="Times New Roman" w:hAnsi="Times New Roman" w:eastAsia="仿宋" w:cs="Times New Roman"/>
          <w:b w:val="0"/>
          <w:bCs/>
          <w:color w:val="000000"/>
          <w:sz w:val="32"/>
          <w:szCs w:val="32"/>
          <w:lang w:val="en-US" w:eastAsia="zh-CN"/>
        </w:rPr>
        <w:t>91.08</w:t>
      </w:r>
      <w:r>
        <w:rPr>
          <w:rStyle w:val="18"/>
          <w:rFonts w:hint="default" w:ascii="Times New Roman" w:hAnsi="Times New Roman" w:eastAsia="仿宋" w:cs="Times New Roman"/>
          <w:b w:val="0"/>
          <w:bCs/>
          <w:color w:val="000000"/>
          <w:sz w:val="32"/>
          <w:szCs w:val="32"/>
          <w:lang w:val="en-US" w:eastAsia="zh-CN"/>
        </w:rPr>
        <w:t>%</w:t>
      </w:r>
      <w:r>
        <w:rPr>
          <w:rFonts w:hint="eastAsia" w:ascii="仿宋" w:hAnsi="仿宋" w:eastAsia="仿宋"/>
          <w:color w:val="auto"/>
          <w:sz w:val="32"/>
          <w:szCs w:val="32"/>
          <w:highlight w:val="none"/>
        </w:rPr>
        <w:t>；公务接待费支出决算</w:t>
      </w:r>
      <w:r>
        <w:rPr>
          <w:rStyle w:val="18"/>
          <w:rFonts w:hint="eastAsia" w:ascii="Times New Roman" w:hAnsi="Times New Roman" w:eastAsia="仿宋" w:cs="Times New Roman"/>
          <w:b w:val="0"/>
          <w:bCs/>
          <w:color w:val="000000"/>
          <w:sz w:val="32"/>
          <w:szCs w:val="32"/>
          <w:lang w:val="en-US" w:eastAsia="zh-CN"/>
        </w:rPr>
        <w:t>2.49</w:t>
      </w:r>
      <w:r>
        <w:rPr>
          <w:rFonts w:hint="eastAsia" w:ascii="仿宋" w:hAnsi="仿宋" w:eastAsia="仿宋"/>
          <w:color w:val="auto"/>
          <w:sz w:val="32"/>
          <w:szCs w:val="32"/>
          <w:highlight w:val="none"/>
        </w:rPr>
        <w:t>万元，占</w:t>
      </w:r>
      <w:r>
        <w:rPr>
          <w:rStyle w:val="18"/>
          <w:rFonts w:hint="eastAsia" w:ascii="Times New Roman" w:hAnsi="Times New Roman" w:eastAsia="仿宋" w:cs="Times New Roman"/>
          <w:b w:val="0"/>
          <w:bCs/>
          <w:color w:val="000000"/>
          <w:sz w:val="32"/>
          <w:szCs w:val="32"/>
          <w:lang w:val="en-US" w:eastAsia="zh-CN"/>
        </w:rPr>
        <w:t>8.92</w:t>
      </w:r>
      <w:r>
        <w:rPr>
          <w:rStyle w:val="18"/>
          <w:rFonts w:hint="default" w:ascii="Times New Roman" w:hAnsi="Times New Roman" w:eastAsia="仿宋" w:cs="Times New Roman"/>
          <w:b w:val="0"/>
          <w:bCs/>
          <w:color w:val="000000"/>
          <w:sz w:val="32"/>
          <w:szCs w:val="32"/>
          <w:lang w:val="en-US" w:eastAsia="zh-CN"/>
        </w:rPr>
        <w:t>%</w:t>
      </w:r>
      <w:r>
        <w:rPr>
          <w:rFonts w:hint="eastAsia" w:ascii="仿宋" w:hAnsi="仿宋" w:eastAsia="仿宋"/>
          <w:color w:val="auto"/>
          <w:sz w:val="32"/>
          <w:szCs w:val="32"/>
          <w:highlight w:val="none"/>
        </w:rPr>
        <w:t>。具体情况如下：</w:t>
      </w:r>
    </w:p>
    <w:p w14:paraId="1E1C3F66">
      <w:pPr>
        <w:pStyle w:val="9"/>
        <w:rPr>
          <w:rFonts w:ascii="仿宋" w:hAnsi="仿宋" w:eastAsia="仿宋"/>
          <w:color w:val="auto"/>
          <w:sz w:val="32"/>
          <w:szCs w:val="32"/>
          <w:highlight w:val="none"/>
        </w:rPr>
      </w:pPr>
      <w:r>
        <w:rPr>
          <w:rFonts w:hint="eastAsia"/>
        </w:rPr>
        <w:drawing>
          <wp:anchor distT="0" distB="0" distL="114300" distR="114300" simplePos="0" relativeHeight="251660288" behindDoc="1" locked="0" layoutInCell="1" allowOverlap="1">
            <wp:simplePos x="0" y="0"/>
            <wp:positionH relativeFrom="column">
              <wp:posOffset>13335</wp:posOffset>
            </wp:positionH>
            <wp:positionV relativeFrom="paragraph">
              <wp:posOffset>128270</wp:posOffset>
            </wp:positionV>
            <wp:extent cx="5217795" cy="1533525"/>
            <wp:effectExtent l="4445" t="5080" r="16510" b="4445"/>
            <wp:wrapTight wrapText="bothSides">
              <wp:wrapPolygon>
                <wp:start x="-18" y="-72"/>
                <wp:lineTo x="-18" y="21394"/>
                <wp:lineTo x="21511" y="21394"/>
                <wp:lineTo x="21511" y="-72"/>
                <wp:lineTo x="-18" y="-72"/>
              </wp:wrapPolygon>
            </wp:wrapTight>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（图7：“三公”经费财政拨款支出结构）（饼状图）</w:t>
      </w:r>
    </w:p>
    <w:p w14:paraId="4F7FC419">
      <w:pPr>
        <w:spacing w:line="600" w:lineRule="exact"/>
        <w:ind w:firstLine="640"/>
        <w:rPr>
          <w:rFonts w:ascii="仿宋" w:hAnsi="仿宋" w:eastAsia="仿宋"/>
          <w:color w:val="auto"/>
          <w:sz w:val="32"/>
          <w:szCs w:val="32"/>
          <w:highlight w:val="none"/>
        </w:rPr>
      </w:pPr>
      <w:bookmarkStart w:id="87" w:name="_Toc15396610"/>
      <w:bookmarkStart w:id="88" w:name="_Toc15377218"/>
      <w:r>
        <w:rPr>
          <w:rFonts w:hint="eastAsia" w:ascii="仿宋" w:hAnsi="仿宋" w:eastAsia="仿宋"/>
          <w:color w:val="auto"/>
          <w:sz w:val="32"/>
          <w:szCs w:val="32"/>
          <w:highlight w:val="none"/>
        </w:rPr>
        <w:t>1.公务用车购置及运行维护费支出</w:t>
      </w:r>
      <w:r>
        <w:rPr>
          <w:rStyle w:val="18"/>
          <w:rFonts w:hint="eastAsia" w:ascii="Times New Roman" w:hAnsi="Times New Roman" w:eastAsia="仿宋" w:cs="Times New Roman"/>
          <w:b w:val="0"/>
          <w:bCs/>
          <w:color w:val="000000"/>
          <w:sz w:val="32"/>
          <w:szCs w:val="32"/>
          <w:lang w:val="en-US" w:eastAsia="zh-CN"/>
        </w:rPr>
        <w:t>25.45</w:t>
      </w:r>
      <w:r>
        <w:rPr>
          <w:rFonts w:hint="eastAsia" w:ascii="仿宋" w:hAnsi="仿宋" w:eastAsia="仿宋"/>
          <w:color w:val="auto"/>
          <w:sz w:val="32"/>
          <w:szCs w:val="32"/>
          <w:highlight w:val="none"/>
        </w:rPr>
        <w:t>万元,完成预算</w:t>
      </w:r>
      <w:r>
        <w:rPr>
          <w:rStyle w:val="18"/>
          <w:rFonts w:hint="eastAsia" w:ascii="Times New Roman" w:hAnsi="Times New Roman" w:eastAsia="仿宋" w:cs="Times New Roman"/>
          <w:b w:val="0"/>
          <w:bCs/>
          <w:color w:val="000000"/>
          <w:sz w:val="32"/>
          <w:szCs w:val="32"/>
          <w:lang w:val="en-US" w:eastAsia="zh-CN"/>
        </w:rPr>
        <w:t>97.90%</w:t>
      </w:r>
      <w:r>
        <w:rPr>
          <w:rFonts w:hint="eastAsia" w:ascii="仿宋" w:hAnsi="仿宋" w:eastAsia="仿宋"/>
          <w:color w:val="auto"/>
          <w:sz w:val="32"/>
          <w:szCs w:val="32"/>
          <w:highlight w:val="none"/>
        </w:rPr>
        <w:t>。公务用车购置及运行维护费支出决算比</w:t>
      </w:r>
      <w:r>
        <w:rPr>
          <w:rStyle w:val="18"/>
          <w:rFonts w:hint="eastAsia" w:ascii="Times New Roman" w:hAnsi="Times New Roman" w:eastAsia="仿宋" w:cs="Times New Roman"/>
          <w:b w:val="0"/>
          <w:bCs/>
          <w:color w:val="000000"/>
          <w:sz w:val="32"/>
          <w:szCs w:val="32"/>
          <w:lang w:val="en-US" w:eastAsia="zh-CN"/>
        </w:rPr>
        <w:t>2023</w:t>
      </w:r>
      <w:r>
        <w:rPr>
          <w:rFonts w:hint="eastAsia" w:ascii="仿宋" w:hAnsi="仿宋" w:eastAsia="仿宋"/>
          <w:color w:val="auto"/>
          <w:sz w:val="32"/>
          <w:szCs w:val="32"/>
          <w:highlight w:val="none"/>
        </w:rPr>
        <w:t>年增加</w:t>
      </w:r>
      <w:r>
        <w:rPr>
          <w:rStyle w:val="18"/>
          <w:rFonts w:hint="eastAsia" w:ascii="Times New Roman" w:hAnsi="Times New Roman" w:eastAsia="仿宋" w:cs="Times New Roman"/>
          <w:b w:val="0"/>
          <w:bCs/>
          <w:color w:val="000000"/>
          <w:sz w:val="32"/>
          <w:szCs w:val="32"/>
          <w:lang w:val="en-US" w:eastAsia="zh-CN"/>
        </w:rPr>
        <w:t>1.47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同比</w:t>
      </w:r>
      <w:r>
        <w:rPr>
          <w:rFonts w:hint="eastAsia" w:ascii="仿宋" w:hAnsi="仿宋" w:eastAsia="仿宋"/>
          <w:color w:val="auto"/>
          <w:sz w:val="32"/>
          <w:szCs w:val="32"/>
          <w:highlight w:val="none"/>
        </w:rPr>
        <w:t>增加</w:t>
      </w:r>
      <w:r>
        <w:rPr>
          <w:rStyle w:val="18"/>
          <w:rFonts w:hint="eastAsia" w:ascii="Times New Roman" w:hAnsi="Times New Roman" w:eastAsia="仿宋" w:cs="Times New Roman"/>
          <w:b w:val="0"/>
          <w:bCs/>
          <w:color w:val="000000"/>
          <w:sz w:val="32"/>
          <w:szCs w:val="32"/>
          <w:lang w:val="en-US" w:eastAsia="zh-CN"/>
        </w:rPr>
        <w:t>6.15%</w:t>
      </w:r>
      <w:r>
        <w:rPr>
          <w:rFonts w:hint="eastAsia" w:ascii="仿宋" w:hAnsi="仿宋" w:eastAsia="仿宋"/>
          <w:color w:val="auto"/>
          <w:sz w:val="32"/>
          <w:szCs w:val="32"/>
          <w:highlight w:val="none"/>
        </w:rPr>
        <w:t>。主要原因是公务用车燃油费增加。</w:t>
      </w:r>
    </w:p>
    <w:p w14:paraId="2EF6D0F4">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其中：公务用车购置支</w:t>
      </w:r>
      <w:r>
        <w:rPr>
          <w:rStyle w:val="18"/>
          <w:rFonts w:hint="eastAsia" w:ascii="Times New Roman" w:hAnsi="Times New Roman" w:eastAsia="仿宋" w:cs="Times New Roman"/>
          <w:b w:val="0"/>
          <w:bCs/>
          <w:color w:val="000000"/>
          <w:sz w:val="32"/>
          <w:szCs w:val="32"/>
          <w:lang w:val="en-US" w:eastAsia="zh-CN"/>
        </w:rPr>
        <w:t>出0</w:t>
      </w:r>
      <w:r>
        <w:rPr>
          <w:rFonts w:hint="eastAsia" w:ascii="仿宋" w:hAnsi="仿宋" w:eastAsia="仿宋"/>
          <w:color w:val="auto"/>
          <w:sz w:val="32"/>
          <w:szCs w:val="32"/>
          <w:highlight w:val="none"/>
        </w:rPr>
        <w:t>万元。全年按规定更新购置公务用车</w:t>
      </w:r>
      <w:r>
        <w:rPr>
          <w:rStyle w:val="18"/>
          <w:rFonts w:hint="eastAsia" w:ascii="Times New Roman" w:hAnsi="Times New Roman" w:eastAsia="仿宋" w:cs="Times New Roman"/>
          <w:b w:val="0"/>
          <w:bCs/>
          <w:color w:val="000000"/>
          <w:sz w:val="32"/>
          <w:szCs w:val="32"/>
          <w:lang w:val="en-US" w:eastAsia="zh-CN"/>
        </w:rPr>
        <w:t>0</w:t>
      </w:r>
      <w:r>
        <w:rPr>
          <w:rFonts w:hint="eastAsia" w:ascii="仿宋" w:hAnsi="仿宋" w:eastAsia="仿宋"/>
          <w:color w:val="auto"/>
          <w:sz w:val="32"/>
          <w:szCs w:val="32"/>
          <w:highlight w:val="none"/>
        </w:rPr>
        <w:t>辆。截至</w:t>
      </w:r>
      <w:r>
        <w:rPr>
          <w:rStyle w:val="18"/>
          <w:rFonts w:hint="eastAsia" w:ascii="Times New Roman" w:hAnsi="Times New Roman" w:eastAsia="仿宋" w:cs="Times New Roman"/>
          <w:b w:val="0"/>
          <w:bCs/>
          <w:color w:val="000000"/>
          <w:sz w:val="32"/>
          <w:szCs w:val="32"/>
          <w:lang w:val="en-US" w:eastAsia="zh-CN"/>
        </w:rPr>
        <w:t>2024</w:t>
      </w:r>
      <w:r>
        <w:rPr>
          <w:rFonts w:hint="eastAsia" w:ascii="仿宋" w:hAnsi="仿宋" w:eastAsia="仿宋"/>
          <w:color w:val="auto"/>
          <w:sz w:val="32"/>
          <w:szCs w:val="32"/>
          <w:highlight w:val="none"/>
        </w:rPr>
        <w:t>年</w:t>
      </w:r>
      <w:r>
        <w:rPr>
          <w:rStyle w:val="18"/>
          <w:rFonts w:hint="eastAsia" w:ascii="Times New Roman" w:hAnsi="Times New Roman" w:eastAsia="仿宋" w:cs="Times New Roman"/>
          <w:b w:val="0"/>
          <w:bCs/>
          <w:color w:val="000000"/>
          <w:sz w:val="32"/>
          <w:szCs w:val="32"/>
          <w:lang w:val="en-US" w:eastAsia="zh-CN"/>
        </w:rPr>
        <w:t>12</w:t>
      </w:r>
      <w:r>
        <w:rPr>
          <w:rFonts w:hint="eastAsia" w:ascii="仿宋" w:hAnsi="仿宋" w:eastAsia="仿宋"/>
          <w:color w:val="auto"/>
          <w:sz w:val="32"/>
          <w:szCs w:val="32"/>
          <w:highlight w:val="none"/>
        </w:rPr>
        <w:t>月底，单位共有公务用车</w:t>
      </w:r>
      <w:r>
        <w:rPr>
          <w:rStyle w:val="18"/>
          <w:rFonts w:hint="eastAsia" w:ascii="Times New Roman" w:hAnsi="Times New Roman" w:eastAsia="仿宋" w:cs="Times New Roman"/>
          <w:b w:val="0"/>
          <w:bCs/>
          <w:color w:val="000000"/>
          <w:sz w:val="32"/>
          <w:szCs w:val="32"/>
          <w:lang w:val="en-US" w:eastAsia="zh-CN"/>
        </w:rPr>
        <w:t>10</w:t>
      </w:r>
      <w:r>
        <w:rPr>
          <w:rFonts w:hint="eastAsia" w:ascii="仿宋" w:hAnsi="仿宋" w:eastAsia="仿宋"/>
          <w:color w:val="auto"/>
          <w:sz w:val="32"/>
          <w:szCs w:val="32"/>
          <w:highlight w:val="none"/>
        </w:rPr>
        <w:t>辆，其中：轿车</w:t>
      </w:r>
      <w:r>
        <w:rPr>
          <w:rStyle w:val="18"/>
          <w:rFonts w:hint="eastAsia" w:ascii="Times New Roman" w:hAnsi="Times New Roman" w:eastAsia="仿宋" w:cs="Times New Roman"/>
          <w:b w:val="0"/>
          <w:bCs/>
          <w:color w:val="000000"/>
          <w:sz w:val="32"/>
          <w:szCs w:val="32"/>
          <w:lang w:val="en-US" w:eastAsia="zh-CN"/>
        </w:rPr>
        <w:t>4</w:t>
      </w:r>
      <w:r>
        <w:rPr>
          <w:rFonts w:hint="eastAsia" w:ascii="仿宋" w:hAnsi="仿宋" w:eastAsia="仿宋"/>
          <w:color w:val="auto"/>
          <w:sz w:val="32"/>
          <w:szCs w:val="32"/>
          <w:highlight w:val="none"/>
        </w:rPr>
        <w:t>辆、其他车型</w:t>
      </w:r>
      <w:r>
        <w:rPr>
          <w:rStyle w:val="18"/>
          <w:rFonts w:hint="eastAsia" w:ascii="Times New Roman" w:hAnsi="Times New Roman" w:eastAsia="仿宋" w:cs="Times New Roman"/>
          <w:b w:val="0"/>
          <w:bCs/>
          <w:color w:val="000000"/>
          <w:sz w:val="32"/>
          <w:szCs w:val="32"/>
          <w:lang w:val="en-US" w:eastAsia="zh-CN"/>
        </w:rPr>
        <w:t>6</w:t>
      </w:r>
      <w:r>
        <w:rPr>
          <w:rFonts w:hint="eastAsia" w:ascii="仿宋" w:hAnsi="仿宋" w:eastAsia="仿宋"/>
          <w:color w:val="auto"/>
          <w:sz w:val="32"/>
          <w:szCs w:val="32"/>
          <w:highlight w:val="none"/>
        </w:rPr>
        <w:t>辆。</w:t>
      </w:r>
    </w:p>
    <w:p w14:paraId="68189358">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公务用车运行维护费支出</w:t>
      </w:r>
      <w:r>
        <w:rPr>
          <w:rStyle w:val="18"/>
          <w:rFonts w:hint="eastAsia" w:ascii="Times New Roman" w:hAnsi="Times New Roman" w:eastAsia="仿宋" w:cs="Times New Roman"/>
          <w:b w:val="0"/>
          <w:bCs/>
          <w:color w:val="000000"/>
          <w:sz w:val="32"/>
          <w:szCs w:val="32"/>
          <w:lang w:val="en-US" w:eastAsia="zh-CN"/>
        </w:rPr>
        <w:t>25.45</w:t>
      </w:r>
      <w:r>
        <w:rPr>
          <w:rFonts w:hint="eastAsia" w:ascii="仿宋" w:hAnsi="仿宋" w:eastAsia="仿宋"/>
          <w:color w:val="auto"/>
          <w:sz w:val="32"/>
          <w:szCs w:val="32"/>
          <w:highlight w:val="none"/>
        </w:rPr>
        <w:t>万元。主要用于送样、督导、培训、采样等所需的公务用车燃料费、维修费、过路过桥费、保险费等支出。</w:t>
      </w:r>
    </w:p>
    <w:p w14:paraId="3DDA9ACD">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2.公务接待费支出</w:t>
      </w:r>
      <w:r>
        <w:rPr>
          <w:rStyle w:val="18"/>
          <w:rFonts w:hint="eastAsia" w:ascii="Times New Roman" w:hAnsi="Times New Roman" w:eastAsia="仿宋" w:cs="Times New Roman"/>
          <w:b w:val="0"/>
          <w:bCs/>
          <w:color w:val="000000"/>
          <w:sz w:val="32"/>
          <w:szCs w:val="32"/>
          <w:lang w:val="en-US" w:eastAsia="zh-CN"/>
        </w:rPr>
        <w:t>2.49</w:t>
      </w:r>
      <w:r>
        <w:rPr>
          <w:rFonts w:hint="eastAsia" w:ascii="仿宋" w:hAnsi="仿宋" w:eastAsia="仿宋"/>
          <w:color w:val="auto"/>
          <w:sz w:val="32"/>
          <w:szCs w:val="32"/>
          <w:highlight w:val="none"/>
        </w:rPr>
        <w:t>万元，完成预算</w:t>
      </w:r>
      <w:r>
        <w:rPr>
          <w:rStyle w:val="18"/>
          <w:rFonts w:hint="eastAsia" w:ascii="Times New Roman" w:hAnsi="Times New Roman" w:eastAsia="仿宋" w:cs="Times New Roman"/>
          <w:b w:val="0"/>
          <w:bCs/>
          <w:color w:val="000000"/>
          <w:sz w:val="32"/>
          <w:szCs w:val="32"/>
          <w:lang w:val="en-US" w:eastAsia="zh-CN"/>
        </w:rPr>
        <w:t>99.77%</w:t>
      </w:r>
      <w:r>
        <w:rPr>
          <w:rFonts w:hint="eastAsia" w:ascii="仿宋" w:hAnsi="仿宋" w:eastAsia="仿宋"/>
          <w:color w:val="auto"/>
          <w:sz w:val="32"/>
          <w:szCs w:val="32"/>
          <w:highlight w:val="none"/>
        </w:rPr>
        <w:t>。公务接待费支出决算比</w:t>
      </w:r>
      <w:r>
        <w:rPr>
          <w:rStyle w:val="18"/>
          <w:rFonts w:hint="eastAsia" w:ascii="Times New Roman" w:hAnsi="Times New Roman" w:eastAsia="仿宋" w:cs="Times New Roman"/>
          <w:b w:val="0"/>
          <w:bCs/>
          <w:color w:val="000000"/>
          <w:sz w:val="32"/>
          <w:szCs w:val="32"/>
          <w:lang w:val="en-US"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增加</w:t>
      </w:r>
      <w:r>
        <w:rPr>
          <w:rStyle w:val="18"/>
          <w:rFonts w:hint="eastAsia" w:ascii="Times New Roman" w:hAnsi="Times New Roman" w:eastAsia="仿宋" w:cs="Times New Roman"/>
          <w:b w:val="0"/>
          <w:bCs/>
          <w:color w:val="000000"/>
          <w:sz w:val="32"/>
          <w:szCs w:val="32"/>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较去年同期持平</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疫情消除，</w:t>
      </w:r>
      <w:r>
        <w:rPr>
          <w:rFonts w:hint="eastAsia" w:ascii="仿宋" w:hAnsi="仿宋" w:eastAsia="仿宋"/>
          <w:color w:val="auto"/>
          <w:sz w:val="32"/>
          <w:szCs w:val="32"/>
          <w:highlight w:val="none"/>
        </w:rPr>
        <w:t>公务接待</w:t>
      </w:r>
      <w:r>
        <w:rPr>
          <w:rFonts w:hint="eastAsia" w:ascii="仿宋" w:hAnsi="仿宋" w:eastAsia="仿宋"/>
          <w:color w:val="auto"/>
          <w:sz w:val="32"/>
          <w:szCs w:val="32"/>
          <w:highlight w:val="none"/>
          <w:lang w:eastAsia="zh-CN"/>
        </w:rPr>
        <w:t>回归正常</w:t>
      </w:r>
      <w:r>
        <w:rPr>
          <w:rFonts w:hint="eastAsia" w:ascii="仿宋" w:hAnsi="仿宋" w:eastAsia="仿宋"/>
          <w:color w:val="auto"/>
          <w:sz w:val="32"/>
          <w:szCs w:val="32"/>
          <w:highlight w:val="none"/>
        </w:rPr>
        <w:t>。</w:t>
      </w:r>
    </w:p>
    <w:p w14:paraId="35028524">
      <w:pPr>
        <w:spacing w:line="600" w:lineRule="exact"/>
        <w:ind w:firstLine="640"/>
        <w:rPr>
          <w:rFonts w:hint="eastAsia" w:ascii="仿宋" w:hAnsi="仿宋" w:eastAsia="仿宋"/>
          <w:color w:val="auto"/>
          <w:sz w:val="32"/>
          <w:szCs w:val="32"/>
          <w:highlight w:val="none"/>
        </w:rPr>
      </w:pPr>
      <w:bookmarkStart w:id="89" w:name="_Toc10195"/>
      <w:r>
        <w:rPr>
          <w:rFonts w:hint="eastAsia" w:ascii="仿宋" w:hAnsi="仿宋" w:eastAsia="仿宋"/>
          <w:color w:val="auto"/>
          <w:sz w:val="32"/>
          <w:szCs w:val="32"/>
          <w:highlight w:val="none"/>
        </w:rPr>
        <w:t>其中：国内公务接待支出</w:t>
      </w:r>
      <w:r>
        <w:rPr>
          <w:rStyle w:val="18"/>
          <w:rFonts w:hint="eastAsia" w:ascii="Times New Roman" w:hAnsi="Times New Roman" w:eastAsia="仿宋" w:cs="Times New Roman"/>
          <w:b w:val="0"/>
          <w:bCs/>
          <w:color w:val="000000"/>
          <w:sz w:val="32"/>
          <w:szCs w:val="32"/>
          <w:lang w:val="en-US" w:eastAsia="zh-CN"/>
        </w:rPr>
        <w:t>2.49</w:t>
      </w:r>
      <w:r>
        <w:rPr>
          <w:rFonts w:hint="eastAsia" w:ascii="仿宋" w:hAnsi="仿宋" w:eastAsia="仿宋"/>
          <w:color w:val="auto"/>
          <w:sz w:val="32"/>
          <w:szCs w:val="32"/>
          <w:highlight w:val="none"/>
        </w:rPr>
        <w:t>万元，主要用于</w:t>
      </w:r>
      <w:r>
        <w:rPr>
          <w:rFonts w:hint="eastAsia" w:ascii="仿宋" w:hAnsi="仿宋" w:eastAsia="仿宋"/>
          <w:color w:val="auto"/>
          <w:sz w:val="32"/>
          <w:szCs w:val="32"/>
          <w:highlight w:val="none"/>
          <w:lang w:eastAsia="zh-CN"/>
        </w:rPr>
        <w:t>接待</w:t>
      </w:r>
      <w:r>
        <w:rPr>
          <w:rFonts w:hint="eastAsia" w:ascii="仿宋" w:hAnsi="仿宋" w:eastAsia="仿宋"/>
          <w:color w:val="auto"/>
          <w:sz w:val="32"/>
          <w:szCs w:val="32"/>
          <w:highlight w:val="none"/>
        </w:rPr>
        <w:t>用餐费。国内公务接待</w:t>
      </w:r>
      <w:r>
        <w:rPr>
          <w:rStyle w:val="18"/>
          <w:rFonts w:hint="eastAsia" w:ascii="Times New Roman" w:hAnsi="Times New Roman" w:eastAsia="仿宋" w:cs="Times New Roman"/>
          <w:b w:val="0"/>
          <w:bCs/>
          <w:color w:val="000000"/>
          <w:sz w:val="32"/>
          <w:szCs w:val="32"/>
          <w:lang w:val="en-US" w:eastAsia="zh-CN"/>
        </w:rPr>
        <w:t>26</w:t>
      </w:r>
      <w:r>
        <w:rPr>
          <w:rFonts w:hint="eastAsia" w:ascii="仿宋" w:hAnsi="仿宋" w:eastAsia="仿宋"/>
          <w:color w:val="auto"/>
          <w:sz w:val="32"/>
          <w:szCs w:val="32"/>
          <w:highlight w:val="none"/>
        </w:rPr>
        <w:t>批次，</w:t>
      </w:r>
      <w:r>
        <w:rPr>
          <w:rStyle w:val="18"/>
          <w:rFonts w:hint="eastAsia" w:ascii="Times New Roman" w:hAnsi="Times New Roman" w:eastAsia="仿宋" w:cs="Times New Roman"/>
          <w:b w:val="0"/>
          <w:bCs/>
          <w:color w:val="000000"/>
          <w:sz w:val="32"/>
          <w:szCs w:val="32"/>
          <w:lang w:val="en-US" w:eastAsia="zh-CN"/>
        </w:rPr>
        <w:t>248</w:t>
      </w:r>
      <w:r>
        <w:rPr>
          <w:rFonts w:hint="eastAsia" w:ascii="仿宋" w:hAnsi="仿宋" w:eastAsia="仿宋"/>
          <w:color w:val="auto"/>
          <w:sz w:val="32"/>
          <w:szCs w:val="32"/>
          <w:highlight w:val="none"/>
        </w:rPr>
        <w:t>人次（不包括陪同人员），共计支出</w:t>
      </w:r>
      <w:r>
        <w:rPr>
          <w:rStyle w:val="18"/>
          <w:rFonts w:hint="eastAsia" w:ascii="Times New Roman" w:hAnsi="Times New Roman" w:eastAsia="仿宋" w:cs="Times New Roman"/>
          <w:b w:val="0"/>
          <w:bCs/>
          <w:color w:val="000000"/>
          <w:sz w:val="32"/>
          <w:szCs w:val="32"/>
          <w:lang w:val="en-US" w:eastAsia="zh-CN"/>
        </w:rPr>
        <w:t>2.49</w:t>
      </w:r>
      <w:r>
        <w:rPr>
          <w:rFonts w:hint="eastAsia" w:ascii="仿宋" w:hAnsi="仿宋" w:eastAsia="仿宋"/>
          <w:color w:val="auto"/>
          <w:sz w:val="32"/>
          <w:szCs w:val="32"/>
          <w:highlight w:val="none"/>
        </w:rPr>
        <w:t>万元，具体内容包括：</w:t>
      </w:r>
      <w:bookmarkEnd w:id="89"/>
      <w:bookmarkStart w:id="90" w:name="_Toc16199"/>
      <w:bookmarkStart w:id="91" w:name="_Toc24535"/>
      <w:bookmarkStart w:id="92" w:name="_Toc9368"/>
      <w:r>
        <w:rPr>
          <w:rFonts w:hint="eastAsia" w:ascii="仿宋" w:hAnsi="仿宋" w:eastAsia="仿宋"/>
          <w:color w:val="auto"/>
          <w:sz w:val="32"/>
          <w:szCs w:val="32"/>
          <w:highlight w:val="none"/>
          <w:lang w:eastAsia="zh-CN"/>
        </w:rPr>
        <w:t>接待德阳市疾控中心到我中心参观学习</w:t>
      </w:r>
      <w:r>
        <w:rPr>
          <w:rFonts w:hint="default" w:ascii="Times New Roman" w:hAnsi="Times New Roman" w:eastAsia="仿宋" w:cs="Times New Roman"/>
          <w:color w:val="auto"/>
          <w:sz w:val="32"/>
          <w:szCs w:val="32"/>
          <w:highlight w:val="none"/>
          <w:lang w:val="en-US" w:eastAsia="zh-CN"/>
        </w:rPr>
        <w:t>0.32</w:t>
      </w:r>
      <w:r>
        <w:rPr>
          <w:rFonts w:hint="eastAsia" w:ascii="仿宋" w:hAnsi="仿宋" w:eastAsia="仿宋"/>
          <w:color w:val="auto"/>
          <w:sz w:val="32"/>
          <w:szCs w:val="32"/>
          <w:highlight w:val="none"/>
          <w:lang w:val="en-US" w:eastAsia="zh-CN"/>
        </w:rPr>
        <w:t>万元、接待省疾控中心开展</w:t>
      </w:r>
      <w:r>
        <w:rPr>
          <w:rFonts w:hint="eastAsia" w:ascii="Times New Roman" w:hAnsi="Times New Roman" w:eastAsia="仿宋" w:cs="Times New Roman"/>
          <w:color w:val="auto"/>
          <w:sz w:val="32"/>
          <w:szCs w:val="32"/>
          <w:highlight w:val="none"/>
          <w:lang w:val="en-US" w:eastAsia="zh-CN"/>
        </w:rPr>
        <w:t>2023</w:t>
      </w:r>
      <w:r>
        <w:rPr>
          <w:rFonts w:hint="eastAsia" w:ascii="仿宋" w:hAnsi="仿宋" w:eastAsia="仿宋"/>
          <w:color w:val="auto"/>
          <w:sz w:val="32"/>
          <w:szCs w:val="32"/>
          <w:highlight w:val="none"/>
          <w:lang w:val="en-US" w:eastAsia="zh-CN"/>
        </w:rPr>
        <w:t>年社会组织参加艾滋病防治基金项目现场验收</w:t>
      </w:r>
      <w:r>
        <w:rPr>
          <w:rFonts w:hint="eastAsia" w:ascii="Times New Roman" w:hAnsi="Times New Roman" w:eastAsia="仿宋" w:cs="Times New Roman"/>
          <w:color w:val="auto"/>
          <w:sz w:val="32"/>
          <w:szCs w:val="32"/>
          <w:highlight w:val="none"/>
          <w:lang w:val="en-US" w:eastAsia="zh-CN"/>
        </w:rPr>
        <w:t>0.0</w:t>
      </w:r>
      <w:r>
        <w:rPr>
          <w:rFonts w:hint="eastAsia" w:eastAsia="仿宋" w:cs="Times New Roman"/>
          <w:color w:val="auto"/>
          <w:sz w:val="32"/>
          <w:szCs w:val="32"/>
          <w:highlight w:val="none"/>
          <w:lang w:val="en-US" w:eastAsia="zh-CN"/>
        </w:rPr>
        <w:t>4</w:t>
      </w:r>
      <w:r>
        <w:rPr>
          <w:rFonts w:hint="eastAsia" w:ascii="仿宋" w:hAnsi="仿宋" w:eastAsia="仿宋"/>
          <w:color w:val="auto"/>
          <w:sz w:val="32"/>
          <w:szCs w:val="32"/>
          <w:highlight w:val="none"/>
          <w:lang w:val="en-US" w:eastAsia="zh-CN"/>
        </w:rPr>
        <w:t>万元、接待南充疾控中心考察学习</w:t>
      </w:r>
      <w:r>
        <w:rPr>
          <w:rFonts w:hint="eastAsia" w:ascii="Times New Roman" w:hAnsi="Times New Roman" w:eastAsia="仿宋" w:cs="Times New Roman"/>
          <w:color w:val="auto"/>
          <w:sz w:val="32"/>
          <w:szCs w:val="32"/>
          <w:highlight w:val="none"/>
          <w:lang w:val="en-US" w:eastAsia="zh-CN"/>
        </w:rPr>
        <w:t>0.16</w:t>
      </w:r>
      <w:r>
        <w:rPr>
          <w:rFonts w:hint="eastAsia" w:ascii="仿宋" w:hAnsi="仿宋" w:eastAsia="仿宋"/>
          <w:color w:val="auto"/>
          <w:sz w:val="32"/>
          <w:szCs w:val="32"/>
          <w:highlight w:val="none"/>
          <w:lang w:val="en-US" w:eastAsia="zh-CN"/>
        </w:rPr>
        <w:t>万元、接待广安疾控交流学习</w:t>
      </w:r>
      <w:r>
        <w:rPr>
          <w:rFonts w:hint="eastAsia" w:ascii="Times New Roman" w:hAnsi="Times New Roman" w:eastAsia="仿宋" w:cs="Times New Roman"/>
          <w:color w:val="auto"/>
          <w:sz w:val="32"/>
          <w:szCs w:val="32"/>
          <w:highlight w:val="none"/>
          <w:lang w:val="en-US" w:eastAsia="zh-CN"/>
        </w:rPr>
        <w:t>0</w:t>
      </w:r>
      <w:r>
        <w:rPr>
          <w:rFonts w:hint="eastAsia" w:ascii="Times New Roman" w:hAnsi="Times New Roman" w:eastAsia="仿宋" w:cs="Times New Roman"/>
          <w:color w:val="auto"/>
          <w:sz w:val="32"/>
          <w:szCs w:val="32"/>
          <w:highlight w:val="none"/>
          <w:lang w:val="en-US" w:eastAsia="zh-CN"/>
        </w:rPr>
        <w:t>.10万元、接待射洪疾控中心考察学习0.11万元、接待省疾</w:t>
      </w:r>
      <w:r>
        <w:rPr>
          <w:rFonts w:hint="eastAsia" w:ascii="仿宋" w:hAnsi="仿宋" w:eastAsia="仿宋"/>
          <w:color w:val="auto"/>
          <w:sz w:val="32"/>
          <w:szCs w:val="32"/>
          <w:highlight w:val="none"/>
          <w:lang w:val="en-US" w:eastAsia="zh-CN"/>
        </w:rPr>
        <w:t>控中心免规调研工作餐</w:t>
      </w:r>
      <w:r>
        <w:rPr>
          <w:rStyle w:val="18"/>
          <w:rFonts w:hint="eastAsia" w:ascii="Times New Roman" w:hAnsi="Times New Roman" w:eastAsia="仿宋" w:cs="Times New Roman"/>
          <w:b w:val="0"/>
          <w:bCs/>
          <w:color w:val="000000"/>
          <w:sz w:val="32"/>
          <w:szCs w:val="32"/>
          <w:lang w:val="en-US" w:eastAsia="zh-CN"/>
        </w:rPr>
        <w:t>0.06</w:t>
      </w:r>
      <w:r>
        <w:rPr>
          <w:rFonts w:hint="eastAsia" w:ascii="仿宋" w:hAnsi="仿宋" w:eastAsia="仿宋"/>
          <w:color w:val="auto"/>
          <w:sz w:val="32"/>
          <w:szCs w:val="32"/>
          <w:highlight w:val="none"/>
          <w:lang w:val="en-US" w:eastAsia="zh-CN"/>
        </w:rPr>
        <w:t>万元、接待广安疾控赴我中心交流学习工作餐</w:t>
      </w:r>
      <w:r>
        <w:rPr>
          <w:rStyle w:val="18"/>
          <w:rFonts w:hint="eastAsia" w:ascii="Times New Roman" w:hAnsi="Times New Roman" w:eastAsia="仿宋" w:cs="Times New Roman"/>
          <w:b w:val="0"/>
          <w:bCs/>
          <w:color w:val="000000"/>
          <w:sz w:val="32"/>
          <w:szCs w:val="32"/>
          <w:lang w:val="en-US" w:eastAsia="zh-CN"/>
        </w:rPr>
        <w:t>0.17</w:t>
      </w:r>
      <w:r>
        <w:rPr>
          <w:rFonts w:hint="eastAsia" w:ascii="仿宋" w:hAnsi="仿宋" w:eastAsia="仿宋"/>
          <w:color w:val="auto"/>
          <w:sz w:val="32"/>
          <w:szCs w:val="32"/>
          <w:highlight w:val="none"/>
          <w:lang w:val="en-US" w:eastAsia="zh-CN"/>
        </w:rPr>
        <w:t>万元、接待雅安市疾控到我中心考察学习</w:t>
      </w:r>
      <w:r>
        <w:rPr>
          <w:rStyle w:val="18"/>
          <w:rFonts w:hint="eastAsia" w:ascii="Times New Roman" w:hAnsi="Times New Roman" w:eastAsia="仿宋" w:cs="Times New Roman"/>
          <w:b w:val="0"/>
          <w:bCs/>
          <w:color w:val="000000"/>
          <w:sz w:val="32"/>
          <w:szCs w:val="32"/>
          <w:lang w:val="en-US" w:eastAsia="zh-CN"/>
        </w:rPr>
        <w:t>0.16</w:t>
      </w:r>
      <w:r>
        <w:rPr>
          <w:rFonts w:hint="eastAsia" w:ascii="仿宋" w:hAnsi="仿宋" w:eastAsia="仿宋"/>
          <w:color w:val="auto"/>
          <w:sz w:val="32"/>
          <w:szCs w:val="32"/>
          <w:highlight w:val="none"/>
          <w:lang w:val="en-US" w:eastAsia="zh-CN"/>
        </w:rPr>
        <w:t>万元、接待巴中市疾控到我中心考察学习</w:t>
      </w:r>
      <w:r>
        <w:rPr>
          <w:rStyle w:val="18"/>
          <w:rFonts w:hint="eastAsia" w:ascii="Times New Roman" w:hAnsi="Times New Roman" w:eastAsia="仿宋" w:cs="Times New Roman"/>
          <w:b w:val="0"/>
          <w:bCs/>
          <w:color w:val="000000"/>
          <w:sz w:val="32"/>
          <w:szCs w:val="32"/>
          <w:lang w:val="en-US" w:eastAsia="zh-CN"/>
        </w:rPr>
        <w:t>0.24</w:t>
      </w:r>
      <w:r>
        <w:rPr>
          <w:rFonts w:hint="eastAsia" w:ascii="仿宋" w:hAnsi="仿宋" w:eastAsia="仿宋"/>
          <w:color w:val="auto"/>
          <w:sz w:val="32"/>
          <w:szCs w:val="32"/>
          <w:highlight w:val="none"/>
          <w:lang w:val="en-US" w:eastAsia="zh-CN"/>
        </w:rPr>
        <w:t>万元、接待省疾控专家督导我中心结核实验室</w:t>
      </w:r>
      <w:r>
        <w:rPr>
          <w:rFonts w:hint="default" w:ascii="Times New Roman" w:hAnsi="Times New Roman" w:eastAsia="仿宋" w:cs="Times New Roman"/>
          <w:color w:val="auto"/>
          <w:sz w:val="32"/>
          <w:szCs w:val="32"/>
          <w:highlight w:val="none"/>
          <w:lang w:val="en-US" w:eastAsia="zh-CN"/>
        </w:rPr>
        <w:t>0.07</w:t>
      </w:r>
      <w:r>
        <w:rPr>
          <w:rFonts w:hint="eastAsia" w:ascii="仿宋" w:hAnsi="仿宋" w:eastAsia="仿宋"/>
          <w:color w:val="auto"/>
          <w:sz w:val="32"/>
          <w:szCs w:val="32"/>
          <w:highlight w:val="none"/>
          <w:lang w:val="en-US" w:eastAsia="zh-CN"/>
        </w:rPr>
        <w:t>万元、接待川北医学院公卫学院交流访问</w:t>
      </w:r>
      <w:r>
        <w:rPr>
          <w:rStyle w:val="18"/>
          <w:rFonts w:hint="eastAsia" w:ascii="Times New Roman" w:hAnsi="Times New Roman" w:eastAsia="仿宋" w:cs="Times New Roman"/>
          <w:b w:val="0"/>
          <w:bCs/>
          <w:color w:val="000000"/>
          <w:sz w:val="32"/>
          <w:szCs w:val="32"/>
          <w:lang w:val="en-US" w:eastAsia="zh-CN"/>
        </w:rPr>
        <w:t>0.0</w:t>
      </w:r>
      <w:r>
        <w:rPr>
          <w:rStyle w:val="18"/>
          <w:rFonts w:hint="eastAsia" w:eastAsia="仿宋" w:cs="Times New Roman"/>
          <w:b w:val="0"/>
          <w:bCs/>
          <w:color w:val="000000"/>
          <w:sz w:val="32"/>
          <w:szCs w:val="32"/>
          <w:lang w:val="en-US" w:eastAsia="zh-CN"/>
        </w:rPr>
        <w:t>8</w:t>
      </w:r>
      <w:r>
        <w:rPr>
          <w:rFonts w:hint="eastAsia" w:ascii="仿宋" w:hAnsi="仿宋" w:eastAsia="仿宋"/>
          <w:color w:val="auto"/>
          <w:sz w:val="32"/>
          <w:szCs w:val="32"/>
          <w:highlight w:val="none"/>
          <w:lang w:val="en-US" w:eastAsia="zh-CN"/>
        </w:rPr>
        <w:t>万元、接待省疾控开展中财项目医用辐射监测</w:t>
      </w:r>
      <w:r>
        <w:rPr>
          <w:rStyle w:val="18"/>
          <w:rFonts w:hint="eastAsia" w:ascii="Times New Roman" w:hAnsi="Times New Roman" w:eastAsia="仿宋" w:cs="Times New Roman"/>
          <w:b w:val="0"/>
          <w:bCs/>
          <w:color w:val="000000"/>
          <w:sz w:val="32"/>
          <w:szCs w:val="32"/>
          <w:lang w:val="en-US" w:eastAsia="zh-CN"/>
        </w:rPr>
        <w:t>0.05</w:t>
      </w:r>
      <w:r>
        <w:rPr>
          <w:rFonts w:hint="eastAsia" w:ascii="仿宋" w:hAnsi="仿宋" w:eastAsia="仿宋"/>
          <w:color w:val="auto"/>
          <w:sz w:val="32"/>
          <w:szCs w:val="32"/>
          <w:highlight w:val="none"/>
          <w:lang w:val="en-US" w:eastAsia="zh-CN"/>
        </w:rPr>
        <w:t>万元、接待德阳市疾控送食品风险监测样品</w:t>
      </w:r>
      <w:r>
        <w:rPr>
          <w:rStyle w:val="18"/>
          <w:rFonts w:hint="eastAsia" w:ascii="Times New Roman" w:hAnsi="Times New Roman" w:eastAsia="仿宋" w:cs="Times New Roman"/>
          <w:b w:val="0"/>
          <w:bCs/>
          <w:color w:val="000000"/>
          <w:sz w:val="32"/>
          <w:szCs w:val="32"/>
          <w:lang w:val="en-US" w:eastAsia="zh-CN"/>
        </w:rPr>
        <w:t>0.04</w:t>
      </w:r>
      <w:r>
        <w:rPr>
          <w:rFonts w:hint="eastAsia" w:ascii="仿宋" w:hAnsi="仿宋" w:eastAsia="仿宋"/>
          <w:color w:val="auto"/>
          <w:sz w:val="32"/>
          <w:szCs w:val="32"/>
          <w:highlight w:val="none"/>
          <w:lang w:val="en-US" w:eastAsia="zh-CN"/>
        </w:rPr>
        <w:t>万元、接待德阳市疾控中心送食品风险监测样品</w:t>
      </w:r>
      <w:r>
        <w:rPr>
          <w:rStyle w:val="18"/>
          <w:rFonts w:hint="eastAsia" w:ascii="Times New Roman" w:hAnsi="Times New Roman" w:eastAsia="仿宋" w:cs="Times New Roman"/>
          <w:b w:val="0"/>
          <w:bCs/>
          <w:color w:val="000000"/>
          <w:sz w:val="32"/>
          <w:szCs w:val="32"/>
          <w:lang w:val="en-US" w:eastAsia="zh-CN"/>
        </w:rPr>
        <w:t>0.0</w:t>
      </w:r>
      <w:r>
        <w:rPr>
          <w:rStyle w:val="18"/>
          <w:rFonts w:hint="eastAsia" w:eastAsia="仿宋" w:cs="Times New Roman"/>
          <w:b w:val="0"/>
          <w:bCs/>
          <w:color w:val="000000"/>
          <w:sz w:val="32"/>
          <w:szCs w:val="32"/>
          <w:lang w:val="en-US" w:eastAsia="zh-CN"/>
        </w:rPr>
        <w:t>3</w:t>
      </w:r>
      <w:r>
        <w:rPr>
          <w:rFonts w:hint="eastAsia" w:ascii="仿宋" w:hAnsi="仿宋" w:eastAsia="仿宋"/>
          <w:color w:val="auto"/>
          <w:sz w:val="32"/>
          <w:szCs w:val="32"/>
          <w:highlight w:val="none"/>
          <w:lang w:val="en-US" w:eastAsia="zh-CN"/>
        </w:rPr>
        <w:t>万元、接待理县疾控到我中心交流学习</w:t>
      </w:r>
      <w:r>
        <w:rPr>
          <w:rStyle w:val="18"/>
          <w:rFonts w:hint="eastAsia" w:ascii="Times New Roman" w:hAnsi="Times New Roman" w:eastAsia="仿宋" w:cs="Times New Roman"/>
          <w:b w:val="0"/>
          <w:bCs/>
          <w:color w:val="000000"/>
          <w:sz w:val="32"/>
          <w:szCs w:val="32"/>
          <w:lang w:val="en-US" w:eastAsia="zh-CN"/>
        </w:rPr>
        <w:t>0.07</w:t>
      </w:r>
      <w:r>
        <w:rPr>
          <w:rFonts w:hint="eastAsia" w:ascii="仿宋" w:hAnsi="仿宋" w:eastAsia="仿宋"/>
          <w:color w:val="auto"/>
          <w:sz w:val="32"/>
          <w:szCs w:val="32"/>
          <w:highlight w:val="none"/>
          <w:lang w:val="en-US" w:eastAsia="zh-CN"/>
        </w:rPr>
        <w:t>万元、接待关于全面排查非免疫规划疫苗接种问题</w:t>
      </w:r>
      <w:r>
        <w:rPr>
          <w:rStyle w:val="18"/>
          <w:rFonts w:hint="eastAsia" w:ascii="Times New Roman" w:hAnsi="Times New Roman" w:eastAsia="仿宋" w:cs="Times New Roman"/>
          <w:b w:val="0"/>
          <w:bCs/>
          <w:color w:val="000000"/>
          <w:sz w:val="32"/>
          <w:szCs w:val="32"/>
          <w:lang w:val="en-US" w:eastAsia="zh-CN"/>
        </w:rPr>
        <w:t>0.07</w:t>
      </w:r>
      <w:r>
        <w:rPr>
          <w:rFonts w:hint="eastAsia" w:ascii="仿宋" w:hAnsi="仿宋" w:eastAsia="仿宋"/>
          <w:color w:val="auto"/>
          <w:sz w:val="32"/>
          <w:szCs w:val="32"/>
          <w:highlight w:val="none"/>
          <w:lang w:val="en-US" w:eastAsia="zh-CN"/>
        </w:rPr>
        <w:t>万元、接待甘孜疾控关于等级评审工作交流</w:t>
      </w:r>
      <w:r>
        <w:rPr>
          <w:rStyle w:val="18"/>
          <w:rFonts w:hint="eastAsia" w:ascii="Times New Roman" w:hAnsi="Times New Roman" w:eastAsia="仿宋" w:cs="Times New Roman"/>
          <w:b w:val="0"/>
          <w:bCs/>
          <w:color w:val="000000"/>
          <w:sz w:val="32"/>
          <w:szCs w:val="32"/>
          <w:lang w:val="en-US" w:eastAsia="zh-CN"/>
        </w:rPr>
        <w:t>0.14</w:t>
      </w:r>
      <w:r>
        <w:rPr>
          <w:rFonts w:hint="eastAsia" w:ascii="仿宋" w:hAnsi="仿宋" w:eastAsia="仿宋"/>
          <w:color w:val="auto"/>
          <w:sz w:val="32"/>
          <w:szCs w:val="32"/>
          <w:highlight w:val="none"/>
          <w:lang w:val="en-US" w:eastAsia="zh-CN"/>
        </w:rPr>
        <w:t>万元、接待省疾控协助食品采样</w:t>
      </w:r>
      <w:r>
        <w:rPr>
          <w:rStyle w:val="18"/>
          <w:rFonts w:hint="eastAsia" w:ascii="Times New Roman" w:hAnsi="Times New Roman" w:eastAsia="仿宋" w:cs="Times New Roman"/>
          <w:b w:val="0"/>
          <w:bCs/>
          <w:color w:val="000000"/>
          <w:sz w:val="32"/>
          <w:szCs w:val="32"/>
          <w:lang w:val="en-US" w:eastAsia="zh-CN"/>
        </w:rPr>
        <w:t>0.0</w:t>
      </w:r>
      <w:r>
        <w:rPr>
          <w:rStyle w:val="18"/>
          <w:rFonts w:hint="eastAsia" w:eastAsia="仿宋" w:cs="Times New Roman"/>
          <w:b w:val="0"/>
          <w:bCs/>
          <w:color w:val="000000"/>
          <w:sz w:val="32"/>
          <w:szCs w:val="32"/>
          <w:lang w:val="en-US" w:eastAsia="zh-CN"/>
        </w:rPr>
        <w:t>4</w:t>
      </w:r>
      <w:r>
        <w:rPr>
          <w:rFonts w:hint="eastAsia" w:ascii="仿宋" w:hAnsi="仿宋" w:eastAsia="仿宋"/>
          <w:color w:val="auto"/>
          <w:sz w:val="32"/>
          <w:szCs w:val="32"/>
          <w:highlight w:val="none"/>
          <w:lang w:val="en-US" w:eastAsia="zh-CN"/>
        </w:rPr>
        <w:t>万元、接待</w:t>
      </w:r>
      <w:r>
        <w:rPr>
          <w:rStyle w:val="18"/>
          <w:rFonts w:hint="eastAsia" w:ascii="Times New Roman" w:hAnsi="Times New Roman" w:eastAsia="仿宋" w:cs="Times New Roman"/>
          <w:b w:val="0"/>
          <w:bCs/>
          <w:color w:val="000000"/>
          <w:sz w:val="32"/>
          <w:szCs w:val="32"/>
          <w:lang w:val="en-US" w:eastAsia="zh-CN"/>
        </w:rPr>
        <w:t>2024</w:t>
      </w:r>
      <w:r>
        <w:rPr>
          <w:rFonts w:hint="eastAsia" w:ascii="仿宋" w:hAnsi="仿宋" w:eastAsia="仿宋"/>
          <w:color w:val="auto"/>
          <w:sz w:val="32"/>
          <w:szCs w:val="32"/>
          <w:highlight w:val="none"/>
          <w:lang w:val="en-US" w:eastAsia="zh-CN"/>
        </w:rPr>
        <w:t>年四川省食物成分监测项目食用菌采样工作</w:t>
      </w:r>
      <w:r>
        <w:rPr>
          <w:rStyle w:val="18"/>
          <w:rFonts w:hint="eastAsia" w:ascii="Times New Roman" w:hAnsi="Times New Roman" w:eastAsia="仿宋" w:cs="Times New Roman"/>
          <w:b w:val="0"/>
          <w:bCs/>
          <w:color w:val="000000"/>
          <w:sz w:val="32"/>
          <w:szCs w:val="32"/>
          <w:lang w:val="en-US" w:eastAsia="zh-CN"/>
        </w:rPr>
        <w:t>0.06</w:t>
      </w:r>
      <w:r>
        <w:rPr>
          <w:rFonts w:hint="eastAsia" w:ascii="仿宋" w:hAnsi="仿宋" w:eastAsia="仿宋"/>
          <w:color w:val="auto"/>
          <w:sz w:val="32"/>
          <w:szCs w:val="32"/>
          <w:highlight w:val="none"/>
          <w:lang w:val="en-US" w:eastAsia="zh-CN"/>
        </w:rPr>
        <w:t>万元、接待四川省职业健康检查机构和职业病诊断机构现场质量评估工作</w:t>
      </w:r>
      <w:r>
        <w:rPr>
          <w:rStyle w:val="18"/>
          <w:rFonts w:hint="eastAsia" w:ascii="Times New Roman" w:hAnsi="Times New Roman" w:eastAsia="仿宋" w:cs="Times New Roman"/>
          <w:b w:val="0"/>
          <w:bCs/>
          <w:color w:val="000000"/>
          <w:sz w:val="32"/>
          <w:szCs w:val="32"/>
          <w:lang w:val="en-US" w:eastAsia="zh-CN"/>
        </w:rPr>
        <w:t>0.07</w:t>
      </w:r>
      <w:r>
        <w:rPr>
          <w:rFonts w:hint="eastAsia" w:ascii="仿宋" w:hAnsi="仿宋" w:eastAsia="仿宋"/>
          <w:color w:val="auto"/>
          <w:sz w:val="32"/>
          <w:szCs w:val="32"/>
          <w:highlight w:val="none"/>
          <w:lang w:val="en-US" w:eastAsia="zh-CN"/>
        </w:rPr>
        <w:t>万元、省疾控职辐所带队开展放射卫生技术服务质量评估接待费</w:t>
      </w:r>
      <w:r>
        <w:rPr>
          <w:rStyle w:val="18"/>
          <w:rFonts w:hint="eastAsia" w:ascii="Times New Roman" w:hAnsi="Times New Roman" w:eastAsia="仿宋" w:cs="Times New Roman"/>
          <w:b w:val="0"/>
          <w:bCs/>
          <w:color w:val="000000"/>
          <w:sz w:val="32"/>
          <w:szCs w:val="32"/>
          <w:lang w:val="en-US" w:eastAsia="zh-CN"/>
        </w:rPr>
        <w:t>0.07</w:t>
      </w:r>
      <w:r>
        <w:rPr>
          <w:rFonts w:hint="eastAsia" w:ascii="仿宋" w:hAnsi="仿宋" w:eastAsia="仿宋"/>
          <w:color w:val="auto"/>
          <w:sz w:val="32"/>
          <w:szCs w:val="32"/>
          <w:highlight w:val="none"/>
          <w:lang w:val="en-US" w:eastAsia="zh-CN"/>
        </w:rPr>
        <w:t>万元、接待</w:t>
      </w:r>
      <w:r>
        <w:rPr>
          <w:rStyle w:val="18"/>
          <w:rFonts w:hint="eastAsia" w:ascii="Times New Roman" w:hAnsi="Times New Roman" w:eastAsia="仿宋" w:cs="Times New Roman"/>
          <w:b w:val="0"/>
          <w:bCs/>
          <w:color w:val="000000"/>
          <w:sz w:val="32"/>
          <w:szCs w:val="32"/>
          <w:lang w:val="en-US" w:eastAsia="zh-CN"/>
        </w:rPr>
        <w:t>2024</w:t>
      </w:r>
      <w:r>
        <w:rPr>
          <w:rFonts w:hint="eastAsia" w:ascii="仿宋" w:hAnsi="仿宋" w:eastAsia="仿宋"/>
          <w:color w:val="auto"/>
          <w:sz w:val="32"/>
          <w:szCs w:val="32"/>
          <w:highlight w:val="none"/>
          <w:lang w:val="en-US" w:eastAsia="zh-CN"/>
        </w:rPr>
        <w:t>年职业卫生机构质控工作</w:t>
      </w:r>
      <w:r>
        <w:rPr>
          <w:rStyle w:val="18"/>
          <w:rFonts w:hint="eastAsia" w:ascii="Times New Roman" w:hAnsi="Times New Roman" w:eastAsia="仿宋" w:cs="Times New Roman"/>
          <w:b w:val="0"/>
          <w:bCs/>
          <w:color w:val="000000"/>
          <w:sz w:val="32"/>
          <w:szCs w:val="32"/>
          <w:lang w:val="en-US" w:eastAsia="zh-CN"/>
        </w:rPr>
        <w:t>0.07</w:t>
      </w:r>
      <w:r>
        <w:rPr>
          <w:rFonts w:hint="eastAsia" w:ascii="仿宋" w:hAnsi="仿宋" w:eastAsia="仿宋"/>
          <w:color w:val="auto"/>
          <w:sz w:val="32"/>
          <w:szCs w:val="32"/>
          <w:highlight w:val="none"/>
          <w:lang w:val="en-US" w:eastAsia="zh-CN"/>
        </w:rPr>
        <w:t>万元、接待</w:t>
      </w:r>
      <w:r>
        <w:rPr>
          <w:rStyle w:val="18"/>
          <w:rFonts w:hint="eastAsia" w:ascii="Times New Roman" w:hAnsi="Times New Roman" w:eastAsia="仿宋" w:cs="Times New Roman"/>
          <w:b w:val="0"/>
          <w:bCs/>
          <w:color w:val="000000"/>
          <w:sz w:val="32"/>
          <w:szCs w:val="32"/>
          <w:lang w:val="en-US" w:eastAsia="zh-CN"/>
        </w:rPr>
        <w:t>2024</w:t>
      </w:r>
      <w:r>
        <w:rPr>
          <w:rFonts w:hint="eastAsia" w:ascii="仿宋" w:hAnsi="仿宋" w:eastAsia="仿宋"/>
          <w:color w:val="auto"/>
          <w:sz w:val="32"/>
          <w:szCs w:val="32"/>
          <w:highlight w:val="none"/>
          <w:lang w:val="en-US" w:eastAsia="zh-CN"/>
        </w:rPr>
        <w:t>年麻风交叉督导工作餐</w:t>
      </w:r>
      <w:r>
        <w:rPr>
          <w:rStyle w:val="18"/>
          <w:rFonts w:hint="eastAsia" w:ascii="Times New Roman" w:hAnsi="Times New Roman" w:eastAsia="仿宋" w:cs="Times New Roman"/>
          <w:b w:val="0"/>
          <w:bCs/>
          <w:color w:val="000000"/>
          <w:sz w:val="32"/>
          <w:szCs w:val="32"/>
          <w:lang w:val="en-US" w:eastAsia="zh-CN"/>
        </w:rPr>
        <w:t>0.07</w:t>
      </w:r>
      <w:r>
        <w:rPr>
          <w:rFonts w:hint="eastAsia" w:ascii="仿宋" w:hAnsi="仿宋" w:eastAsia="仿宋"/>
          <w:color w:val="auto"/>
          <w:sz w:val="32"/>
          <w:szCs w:val="32"/>
          <w:highlight w:val="none"/>
          <w:lang w:val="en-US" w:eastAsia="zh-CN"/>
        </w:rPr>
        <w:t>万元、接待乐山疾控赴遂宁学习交流工作用餐费用</w:t>
      </w:r>
      <w:r>
        <w:rPr>
          <w:rStyle w:val="18"/>
          <w:rFonts w:hint="eastAsia" w:ascii="Times New Roman" w:hAnsi="Times New Roman" w:eastAsia="仿宋" w:cs="Times New Roman"/>
          <w:b w:val="0"/>
          <w:bCs/>
          <w:color w:val="000000"/>
          <w:sz w:val="32"/>
          <w:szCs w:val="32"/>
          <w:lang w:val="en-US" w:eastAsia="zh-CN"/>
        </w:rPr>
        <w:t>0.0</w:t>
      </w:r>
      <w:r>
        <w:rPr>
          <w:rStyle w:val="18"/>
          <w:rFonts w:hint="eastAsia" w:eastAsia="仿宋" w:cs="Times New Roman"/>
          <w:b w:val="0"/>
          <w:bCs/>
          <w:color w:val="000000"/>
          <w:sz w:val="32"/>
          <w:szCs w:val="32"/>
          <w:lang w:val="en-US" w:eastAsia="zh-CN"/>
        </w:rPr>
        <w:t>8</w:t>
      </w:r>
      <w:r>
        <w:rPr>
          <w:rFonts w:hint="eastAsia" w:ascii="仿宋" w:hAnsi="仿宋" w:eastAsia="仿宋"/>
          <w:color w:val="auto"/>
          <w:sz w:val="32"/>
          <w:szCs w:val="32"/>
          <w:highlight w:val="none"/>
          <w:lang w:val="en-US" w:eastAsia="zh-CN"/>
        </w:rPr>
        <w:t>万元、接待省疾控开展</w:t>
      </w:r>
      <w:r>
        <w:rPr>
          <w:rStyle w:val="18"/>
          <w:rFonts w:hint="eastAsia" w:ascii="Times New Roman" w:hAnsi="Times New Roman" w:eastAsia="仿宋" w:cs="Times New Roman"/>
          <w:b w:val="0"/>
          <w:bCs/>
          <w:color w:val="000000"/>
          <w:sz w:val="32"/>
          <w:szCs w:val="32"/>
          <w:lang w:val="en-US" w:eastAsia="zh-CN"/>
        </w:rPr>
        <w:t>2024</w:t>
      </w:r>
      <w:r>
        <w:rPr>
          <w:rFonts w:hint="eastAsia" w:ascii="仿宋" w:hAnsi="仿宋" w:eastAsia="仿宋"/>
          <w:color w:val="auto"/>
          <w:sz w:val="32"/>
          <w:szCs w:val="32"/>
          <w:highlight w:val="none"/>
          <w:lang w:val="en-US" w:eastAsia="zh-CN"/>
        </w:rPr>
        <w:t>年职业病防治项目工作调研用餐费用</w:t>
      </w:r>
      <w:r>
        <w:rPr>
          <w:rStyle w:val="18"/>
          <w:rFonts w:hint="eastAsia" w:ascii="Times New Roman" w:hAnsi="Times New Roman" w:eastAsia="仿宋" w:cs="Times New Roman"/>
          <w:b w:val="0"/>
          <w:bCs/>
          <w:color w:val="000000"/>
          <w:sz w:val="32"/>
          <w:szCs w:val="32"/>
          <w:lang w:val="en-US" w:eastAsia="zh-CN"/>
        </w:rPr>
        <w:t>0.04</w:t>
      </w:r>
      <w:r>
        <w:rPr>
          <w:rFonts w:hint="eastAsia" w:ascii="仿宋" w:hAnsi="仿宋" w:eastAsia="仿宋"/>
          <w:color w:val="auto"/>
          <w:sz w:val="32"/>
          <w:szCs w:val="32"/>
          <w:highlight w:val="none"/>
          <w:lang w:val="en-US" w:eastAsia="zh-CN"/>
        </w:rPr>
        <w:t>万元、接待达州疾控赴遂宁开展</w:t>
      </w:r>
      <w:r>
        <w:rPr>
          <w:rStyle w:val="18"/>
          <w:rFonts w:hint="eastAsia" w:ascii="Times New Roman" w:hAnsi="Times New Roman" w:eastAsia="仿宋" w:cs="Times New Roman"/>
          <w:b w:val="0"/>
          <w:bCs/>
          <w:color w:val="000000"/>
          <w:sz w:val="32"/>
          <w:szCs w:val="32"/>
          <w:lang w:val="en-US" w:eastAsia="zh-CN"/>
        </w:rPr>
        <w:t>2024</w:t>
      </w:r>
      <w:r>
        <w:rPr>
          <w:rFonts w:hint="eastAsia" w:ascii="仿宋" w:hAnsi="仿宋" w:eastAsia="仿宋"/>
          <w:color w:val="auto"/>
          <w:sz w:val="32"/>
          <w:szCs w:val="32"/>
          <w:highlight w:val="none"/>
          <w:lang w:val="en-US" w:eastAsia="zh-CN"/>
        </w:rPr>
        <w:t>年传染病防控和免疫规划工作暗访调研工作用餐费用</w:t>
      </w:r>
      <w:r>
        <w:rPr>
          <w:rStyle w:val="18"/>
          <w:rFonts w:hint="eastAsia" w:ascii="Times New Roman" w:hAnsi="Times New Roman" w:eastAsia="仿宋" w:cs="Times New Roman"/>
          <w:b w:val="0"/>
          <w:bCs/>
          <w:color w:val="000000"/>
          <w:sz w:val="32"/>
          <w:szCs w:val="32"/>
          <w:lang w:val="en-US" w:eastAsia="zh-CN"/>
        </w:rPr>
        <w:t>0.08</w:t>
      </w:r>
      <w:r>
        <w:rPr>
          <w:rFonts w:hint="eastAsia" w:ascii="仿宋" w:hAnsi="仿宋" w:eastAsia="仿宋"/>
          <w:color w:val="auto"/>
          <w:sz w:val="32"/>
          <w:szCs w:val="32"/>
          <w:highlight w:val="none"/>
          <w:lang w:val="en-US" w:eastAsia="zh-CN"/>
        </w:rPr>
        <w:t>万元。</w:t>
      </w:r>
    </w:p>
    <w:p w14:paraId="0F34E7A6">
      <w:pPr>
        <w:spacing w:line="600" w:lineRule="exact"/>
        <w:ind w:firstLine="640"/>
        <w:outlineLvl w:val="1"/>
        <w:rPr>
          <w:rStyle w:val="30"/>
          <w:rFonts w:ascii="黑体" w:hAnsi="黑体" w:eastAsia="黑体"/>
          <w:color w:val="auto"/>
          <w:highlight w:val="none"/>
        </w:rPr>
      </w:pPr>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87"/>
      <w:bookmarkEnd w:id="88"/>
      <w:bookmarkEnd w:id="90"/>
      <w:bookmarkEnd w:id="91"/>
      <w:bookmarkEnd w:id="92"/>
    </w:p>
    <w:p w14:paraId="2B9CA802">
      <w:pPr>
        <w:spacing w:line="600" w:lineRule="exact"/>
        <w:ind w:firstLine="640"/>
        <w:rPr>
          <w:rFonts w:hint="eastAsia" w:ascii="仿宋" w:hAnsi="仿宋" w:eastAsia="仿宋"/>
          <w:color w:val="auto"/>
          <w:sz w:val="32"/>
          <w:szCs w:val="32"/>
          <w:highlight w:val="none"/>
        </w:rPr>
      </w:pPr>
      <w:r>
        <w:rPr>
          <w:rStyle w:val="18"/>
          <w:rFonts w:hint="eastAsia" w:ascii="Times New Roman" w:hAnsi="Times New Roman" w:eastAsia="仿宋" w:cs="Times New Roman"/>
          <w:b w:val="0"/>
          <w:bCs/>
          <w:color w:val="000000"/>
          <w:sz w:val="32"/>
          <w:szCs w:val="32"/>
          <w:lang w:val="en-US" w:eastAsia="zh-CN"/>
        </w:rPr>
        <w:t>2024</w:t>
      </w:r>
      <w:r>
        <w:rPr>
          <w:rFonts w:hint="eastAsia" w:ascii="仿宋" w:hAnsi="仿宋" w:eastAsia="仿宋"/>
          <w:color w:val="auto"/>
          <w:sz w:val="32"/>
          <w:szCs w:val="32"/>
          <w:highlight w:val="none"/>
        </w:rPr>
        <w:t>年政府性基金预算</w:t>
      </w:r>
      <w:r>
        <w:rPr>
          <w:rFonts w:hint="eastAsia" w:ascii="仿宋" w:hAnsi="仿宋" w:eastAsia="仿宋"/>
          <w:color w:val="auto"/>
          <w:sz w:val="32"/>
          <w:szCs w:val="32"/>
          <w:highlight w:val="none"/>
          <w:lang w:eastAsia="zh-CN"/>
        </w:rPr>
        <w:t>财政</w:t>
      </w:r>
      <w:r>
        <w:rPr>
          <w:rFonts w:hint="eastAsia" w:ascii="仿宋" w:hAnsi="仿宋" w:eastAsia="仿宋"/>
          <w:color w:val="auto"/>
          <w:sz w:val="32"/>
          <w:szCs w:val="32"/>
          <w:highlight w:val="none"/>
        </w:rPr>
        <w:t>拨款支出</w:t>
      </w:r>
      <w:r>
        <w:rPr>
          <w:rStyle w:val="18"/>
          <w:rFonts w:hint="eastAsia" w:ascii="Times New Roman" w:hAnsi="Times New Roman" w:eastAsia="仿宋" w:cs="Times New Roman"/>
          <w:b w:val="0"/>
          <w:bCs/>
          <w:color w:val="000000"/>
          <w:sz w:val="32"/>
          <w:szCs w:val="32"/>
          <w:lang w:val="en-US" w:eastAsia="zh-CN"/>
        </w:rPr>
        <w:t>0</w:t>
      </w:r>
      <w:r>
        <w:rPr>
          <w:rFonts w:hint="eastAsia" w:ascii="仿宋" w:hAnsi="仿宋" w:eastAsia="仿宋"/>
          <w:color w:val="auto"/>
          <w:sz w:val="32"/>
          <w:szCs w:val="32"/>
          <w:highlight w:val="none"/>
        </w:rPr>
        <w:t>万元。</w:t>
      </w:r>
    </w:p>
    <w:p w14:paraId="6635E92B">
      <w:pPr>
        <w:numPr>
          <w:ilvl w:val="0"/>
          <w:numId w:val="2"/>
        </w:numPr>
        <w:spacing w:line="600" w:lineRule="exact"/>
        <w:ind w:firstLine="640"/>
        <w:outlineLvl w:val="1"/>
        <w:rPr>
          <w:rStyle w:val="30"/>
          <w:rFonts w:ascii="黑体" w:hAnsi="黑体" w:eastAsia="黑体"/>
          <w:b w:val="0"/>
          <w:color w:val="auto"/>
          <w:highlight w:val="none"/>
        </w:rPr>
      </w:pPr>
      <w:bookmarkStart w:id="93" w:name="_Toc15377219"/>
      <w:bookmarkStart w:id="94" w:name="_Toc19523"/>
      <w:bookmarkStart w:id="95" w:name="_Toc15387"/>
      <w:bookmarkStart w:id="96" w:name="_Toc9007"/>
      <w:bookmarkStart w:id="97" w:name="_Toc15396611"/>
      <w:r>
        <w:rPr>
          <w:rStyle w:val="30"/>
          <w:rFonts w:hint="eastAsia" w:ascii="黑体" w:hAnsi="黑体" w:eastAsia="黑体"/>
          <w:b w:val="0"/>
          <w:color w:val="auto"/>
          <w:highlight w:val="none"/>
        </w:rPr>
        <w:t>国有资本经营预算支出决算情况说明</w:t>
      </w:r>
      <w:bookmarkEnd w:id="93"/>
      <w:bookmarkEnd w:id="94"/>
      <w:bookmarkEnd w:id="95"/>
      <w:bookmarkEnd w:id="96"/>
      <w:bookmarkEnd w:id="97"/>
    </w:p>
    <w:p w14:paraId="14159E4F">
      <w:pPr>
        <w:spacing w:line="600" w:lineRule="exact"/>
        <w:ind w:firstLine="640"/>
        <w:rPr>
          <w:rFonts w:hint="eastAsia" w:ascii="仿宋" w:hAnsi="仿宋" w:eastAsia="仿宋"/>
          <w:color w:val="auto"/>
          <w:sz w:val="32"/>
          <w:szCs w:val="32"/>
          <w:highlight w:val="none"/>
        </w:rPr>
      </w:pPr>
      <w:r>
        <w:rPr>
          <w:rStyle w:val="18"/>
          <w:rFonts w:hint="eastAsia" w:ascii="Times New Roman" w:hAnsi="Times New Roman" w:eastAsia="仿宋" w:cs="Times New Roman"/>
          <w:b w:val="0"/>
          <w:bCs/>
          <w:color w:val="000000"/>
          <w:sz w:val="32"/>
          <w:szCs w:val="32"/>
          <w:lang w:val="en-US" w:eastAsia="zh-CN"/>
        </w:rPr>
        <w:t>2024</w:t>
      </w:r>
      <w:r>
        <w:rPr>
          <w:rFonts w:hint="eastAsia" w:ascii="仿宋" w:hAnsi="仿宋" w:eastAsia="仿宋"/>
          <w:color w:val="auto"/>
          <w:sz w:val="32"/>
          <w:szCs w:val="32"/>
          <w:highlight w:val="none"/>
        </w:rPr>
        <w:t>年国有资本经营预算</w:t>
      </w:r>
      <w:r>
        <w:rPr>
          <w:rFonts w:hint="eastAsia" w:ascii="仿宋" w:hAnsi="仿宋" w:eastAsia="仿宋"/>
          <w:color w:val="auto"/>
          <w:sz w:val="32"/>
          <w:szCs w:val="32"/>
          <w:highlight w:val="none"/>
          <w:lang w:eastAsia="zh-CN"/>
        </w:rPr>
        <w:t>财政</w:t>
      </w:r>
      <w:r>
        <w:rPr>
          <w:rFonts w:hint="eastAsia" w:ascii="仿宋" w:hAnsi="仿宋" w:eastAsia="仿宋"/>
          <w:color w:val="auto"/>
          <w:sz w:val="32"/>
          <w:szCs w:val="32"/>
          <w:highlight w:val="none"/>
        </w:rPr>
        <w:t>拨款支出</w:t>
      </w:r>
      <w:r>
        <w:rPr>
          <w:rStyle w:val="18"/>
          <w:rFonts w:hint="eastAsia" w:ascii="Times New Roman" w:hAnsi="Times New Roman" w:eastAsia="仿宋" w:cs="Times New Roman"/>
          <w:b w:val="0"/>
          <w:bCs/>
          <w:color w:val="000000"/>
          <w:sz w:val="32"/>
          <w:szCs w:val="32"/>
          <w:lang w:val="en-US" w:eastAsia="zh-CN"/>
        </w:rPr>
        <w:t>0</w:t>
      </w:r>
      <w:r>
        <w:rPr>
          <w:rFonts w:hint="eastAsia" w:ascii="仿宋" w:hAnsi="仿宋" w:eastAsia="仿宋"/>
          <w:color w:val="auto"/>
          <w:sz w:val="32"/>
          <w:szCs w:val="32"/>
          <w:highlight w:val="none"/>
        </w:rPr>
        <w:t>万元。</w:t>
      </w:r>
    </w:p>
    <w:p w14:paraId="5B7F91D3">
      <w:pPr>
        <w:numPr>
          <w:ilvl w:val="0"/>
          <w:numId w:val="2"/>
        </w:numPr>
        <w:spacing w:line="600" w:lineRule="exact"/>
        <w:ind w:firstLine="640"/>
        <w:outlineLvl w:val="1"/>
        <w:rPr>
          <w:rStyle w:val="30"/>
          <w:rFonts w:hint="eastAsia" w:ascii="黑体" w:hAnsi="黑体" w:eastAsia="黑体"/>
          <w:b w:val="0"/>
          <w:color w:val="auto"/>
          <w:highlight w:val="none"/>
        </w:rPr>
      </w:pPr>
      <w:bookmarkStart w:id="98" w:name="_Toc15377221"/>
      <w:bookmarkStart w:id="99" w:name="_Toc3745"/>
      <w:bookmarkStart w:id="100" w:name="_Toc28380"/>
      <w:bookmarkStart w:id="101" w:name="_Toc15396612"/>
      <w:bookmarkStart w:id="102" w:name="_Toc6204"/>
      <w:r>
        <w:rPr>
          <w:rStyle w:val="30"/>
          <w:rFonts w:hint="eastAsia" w:ascii="黑体" w:hAnsi="黑体" w:eastAsia="黑体"/>
          <w:b w:val="0"/>
          <w:color w:val="auto"/>
          <w:highlight w:val="none"/>
        </w:rPr>
        <w:t>其他重要事项的情况说明</w:t>
      </w:r>
      <w:bookmarkEnd w:id="98"/>
      <w:bookmarkEnd w:id="99"/>
      <w:bookmarkEnd w:id="100"/>
      <w:bookmarkEnd w:id="101"/>
      <w:bookmarkEnd w:id="102"/>
    </w:p>
    <w:p w14:paraId="1352864D">
      <w:pPr>
        <w:spacing w:line="600" w:lineRule="exact"/>
        <w:ind w:firstLine="640"/>
        <w:rPr>
          <w:rFonts w:hint="eastAsia" w:ascii="仿宋" w:hAnsi="仿宋" w:eastAsia="仿宋"/>
          <w:color w:val="auto"/>
          <w:sz w:val="32"/>
          <w:szCs w:val="32"/>
          <w:highlight w:val="none"/>
        </w:rPr>
      </w:pPr>
      <w:bookmarkStart w:id="103" w:name="_Toc15377222"/>
      <w:r>
        <w:rPr>
          <w:rFonts w:hint="eastAsia" w:ascii="仿宋" w:hAnsi="仿宋" w:eastAsia="仿宋"/>
          <w:color w:val="auto"/>
          <w:sz w:val="32"/>
          <w:szCs w:val="32"/>
          <w:highlight w:val="none"/>
        </w:rPr>
        <w:t>（一）机关运行经费支出情况</w:t>
      </w:r>
      <w:bookmarkEnd w:id="103"/>
    </w:p>
    <w:p w14:paraId="49948D71">
      <w:pPr>
        <w:spacing w:line="600" w:lineRule="exact"/>
        <w:ind w:firstLine="640"/>
        <w:rPr>
          <w:rFonts w:hint="eastAsia" w:ascii="仿宋" w:hAnsi="仿宋" w:eastAsia="仿宋"/>
          <w:color w:val="auto"/>
          <w:sz w:val="32"/>
          <w:szCs w:val="32"/>
          <w:highlight w:val="none"/>
          <w:lang w:eastAsia="zh-CN"/>
        </w:rPr>
      </w:pPr>
      <w:r>
        <w:rPr>
          <w:rStyle w:val="18"/>
          <w:rFonts w:hint="eastAsia" w:ascii="Times New Roman" w:hAnsi="Times New Roman" w:eastAsia="仿宋" w:cs="Times New Roman"/>
          <w:b w:val="0"/>
          <w:bCs/>
          <w:color w:val="000000"/>
          <w:sz w:val="32"/>
          <w:szCs w:val="32"/>
          <w:lang w:val="en-US" w:eastAsia="zh-CN"/>
        </w:rPr>
        <w:t>2024</w:t>
      </w:r>
      <w:r>
        <w:rPr>
          <w:rFonts w:hint="eastAsia" w:ascii="仿宋" w:hAnsi="仿宋" w:eastAsia="仿宋"/>
          <w:color w:val="auto"/>
          <w:sz w:val="32"/>
          <w:szCs w:val="32"/>
          <w:highlight w:val="none"/>
        </w:rPr>
        <w:t>年，遂宁市疾病预防控制中心机关运行经费支出</w:t>
      </w:r>
      <w:r>
        <w:rPr>
          <w:rStyle w:val="18"/>
          <w:rFonts w:hint="eastAsia" w:ascii="Times New Roman" w:hAnsi="Times New Roman" w:eastAsia="仿宋" w:cs="Times New Roman"/>
          <w:b w:val="0"/>
          <w:bCs/>
          <w:color w:val="000000"/>
          <w:sz w:val="32"/>
          <w:szCs w:val="32"/>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p>
    <w:p w14:paraId="237E4EE0">
      <w:pPr>
        <w:spacing w:line="600" w:lineRule="exact"/>
        <w:ind w:firstLine="640"/>
        <w:rPr>
          <w:rFonts w:hint="eastAsia" w:ascii="仿宋" w:hAnsi="仿宋" w:eastAsia="仿宋"/>
          <w:color w:val="auto"/>
          <w:sz w:val="32"/>
          <w:szCs w:val="32"/>
          <w:highlight w:val="none"/>
        </w:rPr>
      </w:pPr>
      <w:bookmarkStart w:id="104" w:name="_Toc15377223"/>
      <w:r>
        <w:rPr>
          <w:rFonts w:hint="eastAsia" w:ascii="仿宋" w:hAnsi="仿宋" w:eastAsia="仿宋"/>
          <w:color w:val="auto"/>
          <w:sz w:val="32"/>
          <w:szCs w:val="32"/>
          <w:highlight w:val="none"/>
        </w:rPr>
        <w:t>（二）政府采购支出情况</w:t>
      </w:r>
      <w:bookmarkEnd w:id="104"/>
    </w:p>
    <w:p w14:paraId="5526864F">
      <w:pPr>
        <w:spacing w:line="600" w:lineRule="exact"/>
        <w:ind w:firstLine="640"/>
        <w:rPr>
          <w:rFonts w:hint="eastAsia" w:ascii="仿宋" w:hAnsi="仿宋" w:eastAsia="仿宋"/>
          <w:color w:val="auto"/>
          <w:sz w:val="32"/>
          <w:szCs w:val="32"/>
          <w:highlight w:val="none"/>
        </w:rPr>
      </w:pPr>
      <w:r>
        <w:rPr>
          <w:rStyle w:val="18"/>
          <w:rFonts w:hint="eastAsia" w:ascii="Times New Roman" w:hAnsi="Times New Roman" w:eastAsia="仿宋" w:cs="Times New Roman"/>
          <w:b w:val="0"/>
          <w:bCs/>
          <w:color w:val="000000"/>
          <w:sz w:val="32"/>
          <w:szCs w:val="32"/>
          <w:lang w:val="en-US" w:eastAsia="zh-CN"/>
        </w:rPr>
        <w:t>2024</w:t>
      </w:r>
      <w:r>
        <w:rPr>
          <w:rFonts w:hint="eastAsia" w:ascii="仿宋" w:hAnsi="仿宋" w:eastAsia="仿宋"/>
          <w:color w:val="auto"/>
          <w:sz w:val="32"/>
          <w:szCs w:val="32"/>
          <w:highlight w:val="none"/>
        </w:rPr>
        <w:t>年，遂宁市疾病预防控制中心政府采购支出总额</w:t>
      </w:r>
      <w:r>
        <w:rPr>
          <w:rStyle w:val="18"/>
          <w:rFonts w:hint="eastAsia" w:ascii="Times New Roman" w:hAnsi="Times New Roman" w:eastAsia="仿宋" w:cs="Times New Roman"/>
          <w:b w:val="0"/>
          <w:bCs/>
          <w:color w:val="000000"/>
          <w:sz w:val="32"/>
          <w:szCs w:val="32"/>
          <w:lang w:val="en-US" w:eastAsia="zh-CN"/>
        </w:rPr>
        <w:t>501.68</w:t>
      </w:r>
      <w:r>
        <w:rPr>
          <w:rFonts w:hint="eastAsia" w:ascii="仿宋" w:hAnsi="仿宋" w:eastAsia="仿宋"/>
          <w:color w:val="auto"/>
          <w:sz w:val="32"/>
          <w:szCs w:val="32"/>
          <w:highlight w:val="none"/>
        </w:rPr>
        <w:t>万元，其中：政府采购货物支出</w:t>
      </w:r>
      <w:r>
        <w:rPr>
          <w:rStyle w:val="18"/>
          <w:rFonts w:hint="eastAsia" w:ascii="Times New Roman" w:hAnsi="Times New Roman" w:eastAsia="仿宋" w:cs="Times New Roman"/>
          <w:b w:val="0"/>
          <w:bCs/>
          <w:color w:val="000000"/>
          <w:sz w:val="32"/>
          <w:szCs w:val="32"/>
          <w:lang w:val="en-US" w:eastAsia="zh-CN"/>
        </w:rPr>
        <w:t>367.08</w:t>
      </w:r>
      <w:r>
        <w:rPr>
          <w:rFonts w:hint="eastAsia" w:ascii="仿宋" w:hAnsi="仿宋" w:eastAsia="仿宋"/>
          <w:color w:val="auto"/>
          <w:sz w:val="32"/>
          <w:szCs w:val="32"/>
          <w:highlight w:val="none"/>
        </w:rPr>
        <w:t>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政府采购服务支出</w:t>
      </w:r>
      <w:r>
        <w:rPr>
          <w:rStyle w:val="18"/>
          <w:rFonts w:hint="eastAsia" w:ascii="Times New Roman" w:hAnsi="Times New Roman" w:eastAsia="仿宋" w:cs="Times New Roman"/>
          <w:b w:val="0"/>
          <w:bCs/>
          <w:color w:val="000000"/>
          <w:sz w:val="32"/>
          <w:szCs w:val="32"/>
          <w:lang w:val="en-US" w:eastAsia="zh-CN"/>
        </w:rPr>
        <w:t>134.60</w:t>
      </w:r>
      <w:r>
        <w:rPr>
          <w:rFonts w:hint="eastAsia" w:ascii="仿宋" w:hAnsi="仿宋" w:eastAsia="仿宋"/>
          <w:color w:val="auto"/>
          <w:sz w:val="32"/>
          <w:szCs w:val="32"/>
          <w:highlight w:val="none"/>
        </w:rPr>
        <w:t>万元。</w:t>
      </w:r>
    </w:p>
    <w:p w14:paraId="2C26D7D4">
      <w:pPr>
        <w:spacing w:line="600" w:lineRule="exact"/>
        <w:ind w:firstLine="640"/>
        <w:rPr>
          <w:rFonts w:hint="eastAsia" w:ascii="仿宋" w:hAnsi="仿宋" w:eastAsia="仿宋"/>
          <w:color w:val="auto"/>
          <w:sz w:val="32"/>
          <w:szCs w:val="32"/>
          <w:highlight w:val="none"/>
        </w:rPr>
      </w:pPr>
      <w:bookmarkStart w:id="105" w:name="_Toc15377224"/>
      <w:r>
        <w:rPr>
          <w:rFonts w:hint="eastAsia" w:ascii="仿宋" w:hAnsi="仿宋" w:eastAsia="仿宋"/>
          <w:color w:val="auto"/>
          <w:sz w:val="32"/>
          <w:szCs w:val="32"/>
          <w:highlight w:val="none"/>
        </w:rPr>
        <w:t>（三）国有资产占有使用情况</w:t>
      </w:r>
      <w:bookmarkEnd w:id="105"/>
    </w:p>
    <w:p w14:paraId="16325E9F">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截至</w:t>
      </w:r>
      <w:r>
        <w:rPr>
          <w:rStyle w:val="18"/>
          <w:rFonts w:hint="eastAsia" w:ascii="Times New Roman" w:hAnsi="Times New Roman" w:eastAsia="仿宋" w:cs="Times New Roman"/>
          <w:b w:val="0"/>
          <w:bCs/>
          <w:color w:val="000000"/>
          <w:sz w:val="32"/>
          <w:szCs w:val="32"/>
          <w:lang w:val="en-US" w:eastAsia="zh-CN"/>
        </w:rPr>
        <w:t>2024</w:t>
      </w:r>
      <w:r>
        <w:rPr>
          <w:rFonts w:hint="eastAsia" w:ascii="仿宋" w:hAnsi="仿宋" w:eastAsia="仿宋"/>
          <w:color w:val="auto"/>
          <w:sz w:val="32"/>
          <w:szCs w:val="32"/>
          <w:highlight w:val="none"/>
        </w:rPr>
        <w:t>年</w:t>
      </w:r>
      <w:r>
        <w:rPr>
          <w:rStyle w:val="18"/>
          <w:rFonts w:hint="eastAsia" w:ascii="Times New Roman" w:hAnsi="Times New Roman" w:eastAsia="仿宋" w:cs="Times New Roman"/>
          <w:b w:val="0"/>
          <w:bCs/>
          <w:color w:val="000000"/>
          <w:sz w:val="32"/>
          <w:szCs w:val="32"/>
          <w:lang w:val="en-US" w:eastAsia="zh-CN"/>
        </w:rPr>
        <w:t>12</w:t>
      </w:r>
      <w:r>
        <w:rPr>
          <w:rFonts w:hint="eastAsia" w:ascii="仿宋" w:hAnsi="仿宋" w:eastAsia="仿宋"/>
          <w:color w:val="auto"/>
          <w:sz w:val="32"/>
          <w:szCs w:val="32"/>
          <w:highlight w:val="none"/>
        </w:rPr>
        <w:t>月</w:t>
      </w:r>
      <w:r>
        <w:rPr>
          <w:rStyle w:val="18"/>
          <w:rFonts w:hint="eastAsia" w:ascii="Times New Roman" w:hAnsi="Times New Roman" w:eastAsia="仿宋" w:cs="Times New Roman"/>
          <w:b w:val="0"/>
          <w:bCs/>
          <w:color w:val="000000"/>
          <w:sz w:val="32"/>
          <w:szCs w:val="32"/>
          <w:lang w:val="en-US" w:eastAsia="zh-CN"/>
        </w:rPr>
        <w:t>31</w:t>
      </w:r>
      <w:r>
        <w:rPr>
          <w:rFonts w:hint="eastAsia" w:ascii="仿宋" w:hAnsi="仿宋" w:eastAsia="仿宋"/>
          <w:color w:val="auto"/>
          <w:sz w:val="32"/>
          <w:szCs w:val="32"/>
          <w:highlight w:val="none"/>
        </w:rPr>
        <w:t>日，遂宁市疾病预防控制中心共有车辆</w:t>
      </w:r>
      <w:r>
        <w:rPr>
          <w:rStyle w:val="18"/>
          <w:rFonts w:hint="eastAsia" w:ascii="Times New Roman" w:hAnsi="Times New Roman" w:eastAsia="仿宋" w:cs="Times New Roman"/>
          <w:b w:val="0"/>
          <w:bCs/>
          <w:color w:val="000000"/>
          <w:sz w:val="32"/>
          <w:szCs w:val="32"/>
          <w:lang w:val="en-US" w:eastAsia="zh-CN"/>
        </w:rPr>
        <w:t>10</w:t>
      </w:r>
      <w:r>
        <w:rPr>
          <w:rFonts w:hint="eastAsia" w:ascii="仿宋" w:hAnsi="仿宋" w:eastAsia="仿宋"/>
          <w:color w:val="auto"/>
          <w:sz w:val="32"/>
          <w:szCs w:val="32"/>
          <w:highlight w:val="none"/>
        </w:rPr>
        <w:t>辆，其中：应急保障用车</w:t>
      </w:r>
      <w:r>
        <w:rPr>
          <w:rStyle w:val="18"/>
          <w:rFonts w:hint="eastAsia" w:ascii="Times New Roman" w:hAnsi="Times New Roman" w:eastAsia="仿宋" w:cs="Times New Roman"/>
          <w:b w:val="0"/>
          <w:bCs/>
          <w:color w:val="000000"/>
          <w:sz w:val="32"/>
          <w:szCs w:val="32"/>
          <w:lang w:val="en-US" w:eastAsia="zh-CN"/>
        </w:rPr>
        <w:t>6</w:t>
      </w:r>
      <w:r>
        <w:rPr>
          <w:rFonts w:hint="eastAsia" w:ascii="仿宋" w:hAnsi="仿宋" w:eastAsia="仿宋"/>
          <w:color w:val="auto"/>
          <w:sz w:val="32"/>
          <w:szCs w:val="32"/>
          <w:highlight w:val="none"/>
        </w:rPr>
        <w:t>辆、</w:t>
      </w:r>
      <w:r>
        <w:rPr>
          <w:rFonts w:hint="eastAsia" w:ascii="仿宋" w:hAnsi="仿宋" w:eastAsia="仿宋"/>
          <w:color w:val="auto"/>
          <w:sz w:val="32"/>
          <w:szCs w:val="32"/>
          <w:highlight w:val="none"/>
          <w:lang w:eastAsia="zh-CN"/>
        </w:rPr>
        <w:t>特种专业技术用车</w:t>
      </w:r>
      <w:r>
        <w:rPr>
          <w:rStyle w:val="18"/>
          <w:rFonts w:hint="eastAsia" w:ascii="Times New Roman" w:hAnsi="Times New Roman" w:eastAsia="仿宋" w:cs="Times New Roman"/>
          <w:b w:val="0"/>
          <w:bCs/>
          <w:color w:val="000000"/>
          <w:sz w:val="32"/>
          <w:szCs w:val="32"/>
          <w:lang w:val="en-US" w:eastAsia="zh-CN"/>
        </w:rPr>
        <w:t>4</w:t>
      </w:r>
      <w:r>
        <w:rPr>
          <w:rFonts w:hint="eastAsia" w:ascii="仿宋" w:hAnsi="仿宋" w:eastAsia="仿宋"/>
          <w:color w:val="auto"/>
          <w:sz w:val="32"/>
          <w:szCs w:val="32"/>
          <w:highlight w:val="none"/>
          <w:lang w:val="en-US" w:eastAsia="zh-CN"/>
        </w:rPr>
        <w:t>辆</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单价</w:t>
      </w:r>
      <w:r>
        <w:rPr>
          <w:rStyle w:val="18"/>
          <w:rFonts w:hint="eastAsia" w:ascii="Times New Roman" w:hAnsi="Times New Roman" w:eastAsia="仿宋" w:cs="Times New Roman"/>
          <w:b w:val="0"/>
          <w:bCs/>
          <w:color w:val="000000"/>
          <w:sz w:val="32"/>
          <w:szCs w:val="32"/>
          <w:lang w:val="en-US" w:eastAsia="zh-CN"/>
        </w:rPr>
        <w:t>100</w:t>
      </w:r>
      <w:r>
        <w:rPr>
          <w:rFonts w:hint="eastAsia" w:ascii="仿宋" w:hAnsi="仿宋" w:eastAsia="仿宋"/>
          <w:color w:val="auto"/>
          <w:sz w:val="32"/>
          <w:szCs w:val="32"/>
          <w:highlight w:val="none"/>
        </w:rPr>
        <w:t>万元以上专用设备</w:t>
      </w:r>
      <w:r>
        <w:rPr>
          <w:rStyle w:val="18"/>
          <w:rFonts w:hint="eastAsia" w:ascii="Times New Roman" w:hAnsi="Times New Roman" w:eastAsia="仿宋" w:cs="Times New Roman"/>
          <w:b w:val="0"/>
          <w:bCs/>
          <w:color w:val="000000"/>
          <w:sz w:val="32"/>
          <w:szCs w:val="32"/>
          <w:lang w:val="en-US" w:eastAsia="zh-CN"/>
        </w:rPr>
        <w:t>5</w:t>
      </w:r>
      <w:r>
        <w:rPr>
          <w:rFonts w:hint="eastAsia" w:ascii="仿宋" w:hAnsi="仿宋" w:eastAsia="仿宋"/>
          <w:color w:val="auto"/>
          <w:sz w:val="32"/>
          <w:szCs w:val="32"/>
          <w:highlight w:val="none"/>
        </w:rPr>
        <w:t>台（套）。</w:t>
      </w:r>
    </w:p>
    <w:p w14:paraId="58294D8B">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（四）预算绩效管理情况</w:t>
      </w:r>
    </w:p>
    <w:p w14:paraId="7B77E80B">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根据预算绩效管理要求，本单位在</w:t>
      </w:r>
      <w:r>
        <w:rPr>
          <w:rStyle w:val="18"/>
          <w:rFonts w:hint="eastAsia" w:ascii="Times New Roman" w:hAnsi="Times New Roman" w:eastAsia="仿宋" w:cs="Times New Roman"/>
          <w:b w:val="0"/>
          <w:bCs/>
          <w:color w:val="000000"/>
          <w:sz w:val="32"/>
          <w:szCs w:val="32"/>
          <w:lang w:val="en-US" w:eastAsia="zh-CN"/>
        </w:rPr>
        <w:t>2024</w:t>
      </w:r>
      <w:r>
        <w:rPr>
          <w:rFonts w:hint="eastAsia" w:ascii="仿宋" w:hAnsi="仿宋" w:eastAsia="仿宋"/>
          <w:color w:val="auto"/>
          <w:sz w:val="32"/>
          <w:szCs w:val="32"/>
          <w:highlight w:val="none"/>
        </w:rPr>
        <w:t>年度预算编制阶段，对</w:t>
      </w:r>
      <w:r>
        <w:rPr>
          <w:rStyle w:val="18"/>
          <w:rFonts w:hint="eastAsia" w:ascii="Times New Roman" w:hAnsi="Times New Roman" w:eastAsia="仿宋" w:cs="Times New Roman"/>
          <w:b w:val="0"/>
          <w:bCs/>
          <w:color w:val="000000"/>
          <w:sz w:val="32"/>
          <w:szCs w:val="32"/>
          <w:lang w:val="en-US" w:eastAsia="zh-CN"/>
        </w:rPr>
        <w:t>12</w:t>
      </w:r>
      <w:r>
        <w:rPr>
          <w:rFonts w:hint="eastAsia" w:ascii="仿宋" w:hAnsi="仿宋" w:eastAsia="仿宋"/>
          <w:color w:val="auto"/>
          <w:sz w:val="32"/>
          <w:szCs w:val="32"/>
          <w:highlight w:val="none"/>
        </w:rPr>
        <w:t>个项目编制了绩效目标，预算执行过程中，选取</w:t>
      </w:r>
      <w:r>
        <w:rPr>
          <w:rStyle w:val="18"/>
          <w:rFonts w:hint="eastAsia" w:ascii="Times New Roman" w:hAnsi="Times New Roman" w:eastAsia="仿宋" w:cs="Times New Roman"/>
          <w:b w:val="0"/>
          <w:bCs/>
          <w:color w:val="000000"/>
          <w:sz w:val="32"/>
          <w:szCs w:val="32"/>
          <w:lang w:val="en-US" w:eastAsia="zh-CN"/>
        </w:rPr>
        <w:t>12</w:t>
      </w:r>
      <w:r>
        <w:rPr>
          <w:rFonts w:hint="eastAsia" w:ascii="仿宋" w:hAnsi="仿宋" w:eastAsia="仿宋"/>
          <w:color w:val="auto"/>
          <w:sz w:val="32"/>
          <w:szCs w:val="32"/>
          <w:highlight w:val="none"/>
        </w:rPr>
        <w:t>个项目开展绩效监控，组织对</w:t>
      </w:r>
      <w:r>
        <w:rPr>
          <w:rStyle w:val="18"/>
          <w:rFonts w:hint="eastAsia" w:ascii="Times New Roman" w:hAnsi="Times New Roman" w:eastAsia="仿宋" w:cs="Times New Roman"/>
          <w:b w:val="0"/>
          <w:bCs/>
          <w:color w:val="000000"/>
          <w:sz w:val="32"/>
          <w:szCs w:val="32"/>
          <w:lang w:val="en-US" w:eastAsia="zh-CN"/>
        </w:rPr>
        <w:t>12</w:t>
      </w:r>
      <w:r>
        <w:rPr>
          <w:rFonts w:hint="eastAsia" w:ascii="仿宋" w:hAnsi="仿宋" w:eastAsia="仿宋"/>
          <w:color w:val="auto"/>
          <w:sz w:val="32"/>
          <w:szCs w:val="32"/>
          <w:highlight w:val="none"/>
        </w:rPr>
        <w:t>个项目开展绩效自评，绩效自评表详见</w:t>
      </w:r>
      <w:r>
        <w:rPr>
          <w:rFonts w:hint="eastAsia" w:ascii="仿宋" w:hAnsi="仿宋" w:eastAsia="仿宋"/>
          <w:color w:val="auto"/>
          <w:sz w:val="32"/>
          <w:szCs w:val="32"/>
          <w:highlight w:val="none"/>
          <w:lang w:eastAsia="zh-CN"/>
        </w:rPr>
        <w:t>第四部分</w:t>
      </w:r>
      <w:r>
        <w:rPr>
          <w:rFonts w:hint="eastAsia" w:ascii="仿宋" w:hAnsi="仿宋" w:eastAsia="仿宋"/>
          <w:color w:val="auto"/>
          <w:sz w:val="32"/>
          <w:szCs w:val="32"/>
          <w:highlight w:val="none"/>
        </w:rPr>
        <w:t>附件。</w:t>
      </w:r>
    </w:p>
    <w:p w14:paraId="3D2D3291">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br w:type="page"/>
      </w:r>
    </w:p>
    <w:p w14:paraId="5A1EFFB0">
      <w:pPr>
        <w:numPr>
          <w:ilvl w:val="0"/>
          <w:numId w:val="3"/>
        </w:numPr>
        <w:spacing w:line="600" w:lineRule="exact"/>
        <w:ind w:firstLine="660" w:firstLineChars="150"/>
        <w:jc w:val="center"/>
        <w:outlineLvl w:val="0"/>
        <w:rPr>
          <w:rStyle w:val="29"/>
          <w:rFonts w:ascii="黑体" w:hAnsi="黑体" w:eastAsia="黑体"/>
          <w:b w:val="0"/>
          <w:color w:val="auto"/>
          <w:highlight w:val="none"/>
        </w:rPr>
      </w:pPr>
      <w:bookmarkStart w:id="106" w:name="_Toc15396613"/>
      <w:bookmarkStart w:id="107" w:name="_Toc21691"/>
      <w:bookmarkStart w:id="108" w:name="_Toc4249"/>
      <w:bookmarkStart w:id="109" w:name="_Toc3614"/>
      <w:bookmarkStart w:id="110" w:name="_Toc15377225"/>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106"/>
      <w:bookmarkEnd w:id="107"/>
      <w:bookmarkEnd w:id="108"/>
      <w:bookmarkEnd w:id="109"/>
      <w:bookmarkEnd w:id="110"/>
    </w:p>
    <w:p w14:paraId="44B3F3B5">
      <w:pPr>
        <w:spacing w:line="600" w:lineRule="exact"/>
        <w:jc w:val="left"/>
        <w:rPr>
          <w:rFonts w:ascii="宋体"/>
          <w:b/>
          <w:color w:val="auto"/>
          <w:sz w:val="44"/>
          <w:szCs w:val="44"/>
          <w:highlight w:val="none"/>
        </w:rPr>
      </w:pPr>
    </w:p>
    <w:p w14:paraId="3902C33D">
      <w:pPr>
        <w:pStyle w:val="27"/>
        <w:spacing w:line="560" w:lineRule="exact"/>
        <w:ind w:firstLine="640" w:firstLineChars="200"/>
        <w:rPr>
          <w:rFonts w:ascii="仿宋_GB2312" w:hAnsi="仿宋" w:eastAsia="仿宋_GB2312"/>
          <w:sz w:val="32"/>
          <w:szCs w:val="32"/>
        </w:rPr>
      </w:pPr>
      <w:bookmarkStart w:id="111" w:name="_Toc4085"/>
      <w:bookmarkStart w:id="112" w:name="_Toc15396614"/>
      <w:bookmarkStart w:id="113" w:name="_Toc7989"/>
      <w:bookmarkStart w:id="114" w:name="_Toc15377226"/>
      <w:r>
        <w:rPr>
          <w:rFonts w:hint="eastAsia" w:ascii="仿宋_GB2312" w:hAnsi="仿宋" w:eastAsia="仿宋_GB2312"/>
          <w:sz w:val="32"/>
          <w:szCs w:val="32"/>
        </w:rPr>
        <w:t>1.财政拨款收入：指单位从同级财政部门取得的财政预算资金。</w:t>
      </w:r>
    </w:p>
    <w:p w14:paraId="5BD80B7C">
      <w:pPr>
        <w:pStyle w:val="27"/>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2.事业收入：指事业单位开展专业业务活动及辅助活动取得的收入。如美沙酮门诊服药费等。</w:t>
      </w:r>
    </w:p>
    <w:p w14:paraId="58BF534E">
      <w:pPr>
        <w:pStyle w:val="27"/>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3.经营收入：指事业单位在专业业务活动及其辅助活动之外开展非独立核算经营活动取得的收入。</w:t>
      </w:r>
    </w:p>
    <w:p w14:paraId="22BD99E3">
      <w:pPr>
        <w:pStyle w:val="27"/>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4.其他收入：指单位取得的除上述收入以外的各项收入。 </w:t>
      </w:r>
    </w:p>
    <w:p w14:paraId="2D7C337A">
      <w:pPr>
        <w:spacing w:line="600" w:lineRule="exact"/>
        <w:ind w:firstLine="640" w:firstLineChars="200"/>
        <w:rPr>
          <w:rFonts w:ascii="仿宋_GB2312" w:hAnsi="仿宋" w:eastAsia="仿宋_GB2312"/>
          <w:color w:val="000000"/>
          <w:sz w:val="32"/>
          <w:szCs w:val="32"/>
        </w:rPr>
      </w:pPr>
      <w:r>
        <w:rPr>
          <w:rStyle w:val="18"/>
          <w:rFonts w:hint="eastAsia" w:ascii="仿宋_GB2312" w:hAnsi="仿宋" w:eastAsia="仿宋_GB2312"/>
          <w:b w:val="0"/>
          <w:bCs/>
          <w:color w:val="000000"/>
          <w:sz w:val="32"/>
          <w:szCs w:val="32"/>
          <w:lang w:val="en-US" w:eastAsia="zh-CN"/>
        </w:rPr>
        <w:t>5</w:t>
      </w:r>
      <w:r>
        <w:rPr>
          <w:rStyle w:val="18"/>
          <w:rFonts w:hint="eastAsia" w:ascii="仿宋_GB2312" w:hAnsi="仿宋" w:eastAsia="仿宋_GB2312"/>
          <w:b w:val="0"/>
          <w:bCs/>
          <w:color w:val="000000"/>
          <w:sz w:val="32"/>
          <w:szCs w:val="32"/>
        </w:rPr>
        <w:t>.</w:t>
      </w:r>
      <w:r>
        <w:rPr>
          <w:rStyle w:val="35"/>
          <w:rFonts w:hint="eastAsia" w:ascii="仿宋_GB2312" w:hAnsi="仿宋" w:eastAsia="仿宋_GB2312"/>
          <w:sz w:val="32"/>
          <w:szCs w:val="32"/>
        </w:rPr>
        <w:t>社会保障和就业支出（类）行政事业单位养老支出（款）</w:t>
      </w:r>
      <w:r>
        <w:rPr>
          <w:rStyle w:val="36"/>
          <w:rFonts w:hint="eastAsia" w:ascii="仿宋_GB2312" w:hAnsi="仿宋" w:eastAsia="仿宋_GB2312"/>
          <w:sz w:val="32"/>
          <w:szCs w:val="32"/>
        </w:rPr>
        <w:t>事业单位离退休</w:t>
      </w:r>
      <w:r>
        <w:rPr>
          <w:rStyle w:val="35"/>
          <w:rFonts w:hint="eastAsia" w:ascii="仿宋_GB2312" w:hAnsi="仿宋" w:eastAsia="仿宋_GB2312"/>
          <w:sz w:val="32"/>
          <w:szCs w:val="32"/>
        </w:rPr>
        <w:t>（项）</w:t>
      </w:r>
      <w:r>
        <w:rPr>
          <w:rStyle w:val="18"/>
          <w:rFonts w:hint="eastAsia" w:ascii="仿宋_GB2312" w:hAnsi="仿宋" w:eastAsia="仿宋_GB2312"/>
          <w:b w:val="0"/>
          <w:bCs/>
          <w:color w:val="000000"/>
          <w:sz w:val="32"/>
          <w:szCs w:val="32"/>
        </w:rPr>
        <w:t>: 反应实行归口管理的事业单位开支的离退休经费。</w:t>
      </w:r>
    </w:p>
    <w:p w14:paraId="1C64C2C8">
      <w:pPr>
        <w:spacing w:line="600" w:lineRule="exact"/>
        <w:ind w:firstLine="640" w:firstLineChars="200"/>
        <w:rPr>
          <w:rStyle w:val="18"/>
          <w:rFonts w:ascii="仿宋_GB2312" w:hAnsi="仿宋" w:eastAsia="仿宋_GB2312"/>
          <w:b w:val="0"/>
          <w:bCs/>
          <w:color w:val="000000"/>
          <w:sz w:val="32"/>
          <w:szCs w:val="32"/>
        </w:rPr>
      </w:pPr>
      <w:r>
        <w:rPr>
          <w:rStyle w:val="18"/>
          <w:rFonts w:hint="eastAsia" w:ascii="仿宋_GB2312" w:hAnsi="仿宋" w:eastAsia="仿宋_GB2312"/>
          <w:b w:val="0"/>
          <w:bCs/>
          <w:color w:val="000000"/>
          <w:sz w:val="32"/>
          <w:szCs w:val="32"/>
          <w:lang w:val="en-US" w:eastAsia="zh-CN"/>
        </w:rPr>
        <w:t>6</w:t>
      </w:r>
      <w:r>
        <w:rPr>
          <w:rStyle w:val="18"/>
          <w:rFonts w:hint="eastAsia" w:ascii="仿宋_GB2312" w:hAnsi="仿宋" w:eastAsia="仿宋_GB2312"/>
          <w:b w:val="0"/>
          <w:bCs/>
          <w:color w:val="000000"/>
          <w:sz w:val="32"/>
          <w:szCs w:val="32"/>
        </w:rPr>
        <w:t>.</w:t>
      </w:r>
      <w:r>
        <w:rPr>
          <w:rStyle w:val="35"/>
          <w:rFonts w:hint="eastAsia" w:ascii="仿宋_GB2312" w:hAnsi="仿宋" w:eastAsia="仿宋_GB2312"/>
          <w:sz w:val="32"/>
          <w:szCs w:val="32"/>
        </w:rPr>
        <w:t>社会保障和就业支出（类）行政事业单位养老支出（款）</w:t>
      </w:r>
      <w:r>
        <w:rPr>
          <w:rStyle w:val="36"/>
          <w:rFonts w:hint="eastAsia" w:ascii="仿宋_GB2312" w:hAnsi="仿宋" w:eastAsia="仿宋_GB2312"/>
          <w:sz w:val="32"/>
          <w:szCs w:val="32"/>
        </w:rPr>
        <w:t>机关事业单位基本养老保险缴费支出</w:t>
      </w:r>
      <w:r>
        <w:rPr>
          <w:rStyle w:val="35"/>
          <w:rFonts w:hint="eastAsia" w:ascii="仿宋_GB2312" w:hAnsi="仿宋" w:eastAsia="仿宋_GB2312"/>
          <w:sz w:val="32"/>
          <w:szCs w:val="32"/>
        </w:rPr>
        <w:t>（项）</w:t>
      </w:r>
      <w:r>
        <w:rPr>
          <w:rStyle w:val="18"/>
          <w:rFonts w:hint="eastAsia" w:ascii="仿宋_GB2312" w:hAnsi="仿宋" w:eastAsia="仿宋_GB2312"/>
          <w:b w:val="0"/>
          <w:bCs/>
          <w:color w:val="000000"/>
          <w:sz w:val="32"/>
          <w:szCs w:val="32"/>
        </w:rPr>
        <w:t>: 反应机关事业单位实施养老保险制度由单位缴纳的基本养老保险费支出。</w:t>
      </w:r>
    </w:p>
    <w:p w14:paraId="5C464E4C">
      <w:pPr>
        <w:spacing w:line="600" w:lineRule="exact"/>
        <w:ind w:firstLine="640" w:firstLineChars="200"/>
        <w:rPr>
          <w:rStyle w:val="18"/>
          <w:rFonts w:ascii="仿宋_GB2312" w:hAnsi="仿宋" w:eastAsia="仿宋_GB2312"/>
          <w:b w:val="0"/>
          <w:bCs/>
          <w:color w:val="000000"/>
          <w:sz w:val="32"/>
          <w:szCs w:val="32"/>
        </w:rPr>
      </w:pPr>
      <w:r>
        <w:rPr>
          <w:rStyle w:val="18"/>
          <w:rFonts w:hint="eastAsia" w:ascii="仿宋_GB2312" w:hAnsi="仿宋" w:eastAsia="仿宋_GB2312"/>
          <w:b w:val="0"/>
          <w:bCs/>
          <w:color w:val="000000"/>
          <w:sz w:val="32"/>
          <w:szCs w:val="32"/>
          <w:lang w:val="en-US" w:eastAsia="zh-CN"/>
        </w:rPr>
        <w:t>7</w:t>
      </w:r>
      <w:r>
        <w:rPr>
          <w:rStyle w:val="18"/>
          <w:rFonts w:hint="eastAsia" w:ascii="仿宋_GB2312" w:hAnsi="仿宋" w:eastAsia="仿宋_GB2312"/>
          <w:b w:val="0"/>
          <w:bCs/>
          <w:color w:val="000000"/>
          <w:sz w:val="32"/>
          <w:szCs w:val="32"/>
        </w:rPr>
        <w:t>.</w:t>
      </w:r>
      <w:r>
        <w:rPr>
          <w:rStyle w:val="35"/>
          <w:rFonts w:hint="eastAsia" w:ascii="仿宋_GB2312" w:hAnsi="仿宋" w:eastAsia="仿宋_GB2312"/>
          <w:sz w:val="32"/>
          <w:szCs w:val="32"/>
        </w:rPr>
        <w:t>社会保障和就业支出（类）行政事业单位养老支出（款）</w:t>
      </w:r>
      <w:r>
        <w:rPr>
          <w:rStyle w:val="36"/>
          <w:rFonts w:hint="eastAsia" w:ascii="仿宋_GB2312" w:hAnsi="仿宋" w:eastAsia="仿宋_GB2312"/>
          <w:sz w:val="32"/>
          <w:szCs w:val="32"/>
        </w:rPr>
        <w:t>其他行政事业单位养老支出</w:t>
      </w:r>
      <w:r>
        <w:rPr>
          <w:rStyle w:val="35"/>
          <w:rFonts w:hint="eastAsia" w:ascii="仿宋_GB2312" w:hAnsi="仿宋" w:eastAsia="仿宋_GB2312"/>
          <w:sz w:val="32"/>
          <w:szCs w:val="32"/>
        </w:rPr>
        <w:t>（项）</w:t>
      </w:r>
      <w:r>
        <w:rPr>
          <w:rStyle w:val="18"/>
          <w:rFonts w:hint="eastAsia" w:ascii="仿宋_GB2312" w:hAnsi="仿宋" w:eastAsia="仿宋_GB2312"/>
          <w:b w:val="0"/>
          <w:bCs/>
          <w:color w:val="000000"/>
          <w:sz w:val="32"/>
          <w:szCs w:val="32"/>
        </w:rPr>
        <w:t>: 反应其他用于行政事业单位离退休方面的支出。</w:t>
      </w:r>
    </w:p>
    <w:p w14:paraId="0E5AA80E">
      <w:pPr>
        <w:spacing w:line="600" w:lineRule="exact"/>
        <w:ind w:firstLine="640" w:firstLineChars="200"/>
        <w:rPr>
          <w:rFonts w:ascii="仿宋_GB2312" w:hAnsi="仿宋" w:eastAsia="仿宋_GB2312"/>
          <w:bCs/>
          <w:color w:val="000000"/>
          <w:sz w:val="32"/>
          <w:szCs w:val="32"/>
        </w:rPr>
      </w:pPr>
      <w:r>
        <w:rPr>
          <w:rStyle w:val="18"/>
          <w:rFonts w:hint="eastAsia" w:ascii="仿宋_GB2312" w:hAnsi="仿宋" w:eastAsia="仿宋_GB2312"/>
          <w:b w:val="0"/>
          <w:bCs/>
          <w:color w:val="000000"/>
          <w:sz w:val="32"/>
          <w:szCs w:val="32"/>
          <w:lang w:val="en-US" w:eastAsia="zh-CN"/>
        </w:rPr>
        <w:t>8</w:t>
      </w:r>
      <w:r>
        <w:rPr>
          <w:rStyle w:val="18"/>
          <w:rFonts w:hint="eastAsia" w:ascii="仿宋_GB2312" w:hAnsi="仿宋" w:eastAsia="仿宋_GB2312"/>
          <w:b w:val="0"/>
          <w:bCs/>
          <w:color w:val="000000"/>
          <w:sz w:val="32"/>
          <w:szCs w:val="32"/>
        </w:rPr>
        <w:t>.</w:t>
      </w:r>
      <w:r>
        <w:rPr>
          <w:rStyle w:val="35"/>
          <w:rFonts w:hint="eastAsia" w:ascii="仿宋_GB2312" w:hAnsi="仿宋" w:eastAsia="仿宋_GB2312"/>
          <w:sz w:val="32"/>
          <w:szCs w:val="32"/>
        </w:rPr>
        <w:t>社会保障和就业支出（类）抚恤（款）</w:t>
      </w:r>
      <w:r>
        <w:rPr>
          <w:rStyle w:val="36"/>
          <w:rFonts w:hint="eastAsia" w:ascii="仿宋_GB2312" w:hAnsi="仿宋" w:eastAsia="仿宋_GB2312"/>
          <w:sz w:val="32"/>
          <w:szCs w:val="32"/>
        </w:rPr>
        <w:t>死亡抚恤</w:t>
      </w:r>
      <w:r>
        <w:rPr>
          <w:rStyle w:val="35"/>
          <w:rFonts w:hint="eastAsia" w:ascii="仿宋_GB2312" w:hAnsi="仿宋" w:eastAsia="仿宋_GB2312"/>
          <w:sz w:val="32"/>
          <w:szCs w:val="32"/>
        </w:rPr>
        <w:t>（项）：</w:t>
      </w:r>
      <w:r>
        <w:rPr>
          <w:rStyle w:val="18"/>
          <w:rFonts w:hint="eastAsia" w:ascii="仿宋_GB2312" w:hAnsi="仿宋" w:eastAsia="仿宋_GB2312"/>
          <w:b w:val="0"/>
          <w:bCs/>
          <w:color w:val="000000"/>
          <w:sz w:val="32"/>
          <w:szCs w:val="32"/>
        </w:rPr>
        <w:t>反应按规定用于烈士和牺牲、病故人员家属的一次性和定期抚恤金以及丧葬补助费。</w:t>
      </w:r>
    </w:p>
    <w:p w14:paraId="5AF9B465">
      <w:pPr>
        <w:spacing w:line="600" w:lineRule="exact"/>
        <w:ind w:firstLine="640" w:firstLineChars="200"/>
        <w:rPr>
          <w:rStyle w:val="18"/>
          <w:rFonts w:ascii="仿宋_GB2312" w:hAnsi="仿宋" w:eastAsia="仿宋_GB2312"/>
          <w:b w:val="0"/>
          <w:bCs/>
          <w:color w:val="000000"/>
          <w:sz w:val="32"/>
          <w:szCs w:val="32"/>
        </w:rPr>
      </w:pPr>
      <w:r>
        <w:rPr>
          <w:rFonts w:hint="eastAsia" w:ascii="仿宋_GB2312" w:hAnsi="仿宋" w:eastAsia="仿宋_GB2312"/>
          <w:color w:val="000000"/>
          <w:sz w:val="32"/>
          <w:szCs w:val="32"/>
          <w:lang w:val="en-US" w:eastAsia="zh-CN"/>
        </w:rPr>
        <w:t>9</w:t>
      </w:r>
      <w:r>
        <w:rPr>
          <w:rFonts w:hint="eastAsia" w:ascii="仿宋_GB2312" w:hAnsi="仿宋" w:eastAsia="仿宋_GB2312"/>
          <w:color w:val="000000"/>
          <w:sz w:val="32"/>
          <w:szCs w:val="32"/>
        </w:rPr>
        <w:t>.</w:t>
      </w:r>
      <w:r>
        <w:rPr>
          <w:rStyle w:val="35"/>
          <w:rFonts w:hint="eastAsia" w:ascii="仿宋_GB2312" w:hAnsi="仿宋" w:eastAsia="仿宋_GB2312"/>
          <w:sz w:val="32"/>
          <w:szCs w:val="32"/>
        </w:rPr>
        <w:t>卫生健康支出（类）公共卫生（款）</w:t>
      </w:r>
      <w:r>
        <w:rPr>
          <w:rStyle w:val="36"/>
          <w:rFonts w:hint="eastAsia" w:ascii="仿宋_GB2312" w:hAnsi="仿宋" w:eastAsia="仿宋_GB2312"/>
          <w:sz w:val="32"/>
          <w:szCs w:val="32"/>
        </w:rPr>
        <w:t>疾病预防控制机构</w:t>
      </w:r>
      <w:r>
        <w:rPr>
          <w:rStyle w:val="35"/>
          <w:rFonts w:hint="eastAsia" w:ascii="仿宋_GB2312" w:hAnsi="仿宋" w:eastAsia="仿宋_GB2312"/>
          <w:sz w:val="32"/>
          <w:szCs w:val="32"/>
        </w:rPr>
        <w:t>（项）：</w:t>
      </w:r>
      <w:r>
        <w:rPr>
          <w:rStyle w:val="18"/>
          <w:rFonts w:hint="eastAsia" w:ascii="仿宋_GB2312" w:hAnsi="仿宋" w:eastAsia="仿宋_GB2312"/>
          <w:b w:val="0"/>
          <w:bCs/>
          <w:color w:val="000000"/>
          <w:sz w:val="32"/>
          <w:szCs w:val="32"/>
        </w:rPr>
        <w:t>反应卫生健康部门所属疾病预防控制机构的支出。</w:t>
      </w:r>
    </w:p>
    <w:p w14:paraId="2297CA52">
      <w:pPr>
        <w:spacing w:line="600" w:lineRule="exact"/>
        <w:ind w:firstLine="640" w:firstLineChars="200"/>
        <w:rPr>
          <w:rStyle w:val="18"/>
          <w:rFonts w:ascii="仿宋_GB2312" w:hAnsi="仿宋" w:eastAsia="仿宋_GB2312"/>
          <w:b w:val="0"/>
          <w:bCs/>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w:t>
      </w:r>
      <w:r>
        <w:rPr>
          <w:rStyle w:val="35"/>
          <w:rFonts w:hint="eastAsia" w:ascii="仿宋_GB2312" w:hAnsi="仿宋" w:eastAsia="仿宋_GB2312"/>
          <w:sz w:val="32"/>
          <w:szCs w:val="32"/>
        </w:rPr>
        <w:t>卫生健康支出（类）公共卫生（款）</w:t>
      </w:r>
      <w:r>
        <w:rPr>
          <w:rStyle w:val="36"/>
          <w:rFonts w:hint="eastAsia" w:ascii="仿宋_GB2312" w:hAnsi="仿宋" w:eastAsia="仿宋_GB2312"/>
          <w:sz w:val="32"/>
          <w:szCs w:val="32"/>
        </w:rPr>
        <w:t>基本公共卫生服务</w:t>
      </w:r>
      <w:r>
        <w:rPr>
          <w:rStyle w:val="35"/>
          <w:rFonts w:hint="eastAsia" w:ascii="仿宋_GB2312" w:hAnsi="仿宋" w:eastAsia="仿宋_GB2312"/>
          <w:sz w:val="32"/>
          <w:szCs w:val="32"/>
        </w:rPr>
        <w:t>（项）：</w:t>
      </w:r>
      <w:r>
        <w:rPr>
          <w:rStyle w:val="18"/>
          <w:rFonts w:hint="eastAsia" w:ascii="仿宋_GB2312" w:hAnsi="仿宋" w:eastAsia="仿宋_GB2312"/>
          <w:b w:val="0"/>
          <w:bCs/>
          <w:color w:val="000000"/>
          <w:sz w:val="32"/>
          <w:szCs w:val="32"/>
        </w:rPr>
        <w:t>反应基本公共卫生服务支出。</w:t>
      </w:r>
    </w:p>
    <w:p w14:paraId="753DAA62">
      <w:pPr>
        <w:spacing w:line="600" w:lineRule="exact"/>
        <w:ind w:firstLine="640" w:firstLineChars="200"/>
        <w:rPr>
          <w:rStyle w:val="18"/>
          <w:rFonts w:ascii="仿宋_GB2312" w:hAnsi="仿宋" w:eastAsia="仿宋_GB2312"/>
          <w:b w:val="0"/>
          <w:bCs/>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w:t>
      </w:r>
      <w:r>
        <w:rPr>
          <w:rStyle w:val="35"/>
          <w:rFonts w:hint="eastAsia" w:ascii="仿宋_GB2312" w:hAnsi="仿宋" w:eastAsia="仿宋_GB2312"/>
          <w:sz w:val="32"/>
          <w:szCs w:val="32"/>
        </w:rPr>
        <w:t>卫生健康支出（类）公共卫生（款）</w:t>
      </w:r>
      <w:r>
        <w:rPr>
          <w:rStyle w:val="36"/>
          <w:rFonts w:hint="eastAsia" w:ascii="仿宋_GB2312" w:hAnsi="仿宋" w:eastAsia="仿宋_GB2312"/>
          <w:sz w:val="32"/>
          <w:szCs w:val="32"/>
        </w:rPr>
        <w:t>重大公共卫生服务</w:t>
      </w:r>
      <w:r>
        <w:rPr>
          <w:rStyle w:val="35"/>
          <w:rFonts w:hint="eastAsia" w:ascii="仿宋_GB2312" w:hAnsi="仿宋" w:eastAsia="仿宋_GB2312"/>
          <w:sz w:val="32"/>
          <w:szCs w:val="32"/>
        </w:rPr>
        <w:t>（项）：</w:t>
      </w:r>
      <w:r>
        <w:rPr>
          <w:rStyle w:val="18"/>
          <w:rFonts w:hint="eastAsia" w:ascii="仿宋_GB2312" w:hAnsi="仿宋" w:eastAsia="仿宋_GB2312"/>
          <w:b w:val="0"/>
          <w:bCs/>
          <w:color w:val="000000"/>
          <w:sz w:val="32"/>
          <w:szCs w:val="32"/>
        </w:rPr>
        <w:t>反应重大疾病、重大传染病预防控制等重大公共卫生服务项目支出。</w:t>
      </w:r>
    </w:p>
    <w:p w14:paraId="2F9D3F6C">
      <w:pPr>
        <w:spacing w:line="600" w:lineRule="exact"/>
        <w:ind w:firstLine="640" w:firstLineChars="200"/>
        <w:rPr>
          <w:rStyle w:val="18"/>
          <w:rFonts w:ascii="仿宋_GB2312" w:hAnsi="仿宋" w:eastAsia="仿宋_GB2312"/>
          <w:b w:val="0"/>
          <w:bCs/>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w:t>
      </w:r>
      <w:r>
        <w:rPr>
          <w:rStyle w:val="35"/>
          <w:rFonts w:hint="eastAsia" w:ascii="仿宋_GB2312" w:hAnsi="仿宋" w:eastAsia="仿宋_GB2312"/>
          <w:sz w:val="32"/>
          <w:szCs w:val="32"/>
        </w:rPr>
        <w:t>卫生健康支出（类）公共卫生（款）</w:t>
      </w:r>
      <w:r>
        <w:rPr>
          <w:rStyle w:val="36"/>
          <w:rFonts w:hint="eastAsia" w:ascii="仿宋_GB2312" w:hAnsi="仿宋" w:eastAsia="仿宋_GB2312"/>
          <w:sz w:val="32"/>
          <w:szCs w:val="32"/>
        </w:rPr>
        <w:t>突发公共卫生事件应急处理</w:t>
      </w:r>
      <w:r>
        <w:rPr>
          <w:rStyle w:val="35"/>
          <w:rFonts w:hint="eastAsia" w:ascii="仿宋_GB2312" w:hAnsi="仿宋" w:eastAsia="仿宋_GB2312"/>
          <w:sz w:val="32"/>
          <w:szCs w:val="32"/>
        </w:rPr>
        <w:t>（项）：</w:t>
      </w:r>
      <w:r>
        <w:rPr>
          <w:rStyle w:val="18"/>
          <w:rFonts w:hint="eastAsia" w:ascii="仿宋_GB2312" w:hAnsi="仿宋" w:eastAsia="仿宋_GB2312"/>
          <w:b w:val="0"/>
          <w:bCs/>
          <w:color w:val="000000"/>
          <w:sz w:val="32"/>
          <w:szCs w:val="32"/>
        </w:rPr>
        <w:t>反应用于突发公共卫生事件应急处理的支出。</w:t>
      </w:r>
    </w:p>
    <w:p w14:paraId="3EACE45A">
      <w:pPr>
        <w:spacing w:line="600" w:lineRule="exact"/>
        <w:ind w:firstLine="640" w:firstLineChars="200"/>
        <w:rPr>
          <w:rStyle w:val="18"/>
          <w:rFonts w:ascii="仿宋_GB2312" w:hAnsi="仿宋" w:eastAsia="仿宋_GB2312"/>
          <w:b w:val="0"/>
          <w:bCs/>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w:t>
      </w:r>
      <w:r>
        <w:rPr>
          <w:rStyle w:val="35"/>
          <w:rFonts w:hint="eastAsia" w:ascii="仿宋_GB2312" w:hAnsi="仿宋" w:eastAsia="仿宋_GB2312"/>
          <w:sz w:val="32"/>
          <w:szCs w:val="32"/>
        </w:rPr>
        <w:t>卫生健康支出（类）行政事业单位医疗（款）</w:t>
      </w:r>
      <w:r>
        <w:rPr>
          <w:rStyle w:val="36"/>
          <w:rFonts w:hint="eastAsia" w:ascii="仿宋_GB2312" w:hAnsi="仿宋" w:eastAsia="仿宋_GB2312"/>
          <w:sz w:val="32"/>
          <w:szCs w:val="32"/>
        </w:rPr>
        <w:t>事业单位医疗</w:t>
      </w:r>
      <w:r>
        <w:rPr>
          <w:rStyle w:val="35"/>
          <w:rFonts w:hint="eastAsia" w:ascii="仿宋_GB2312" w:hAnsi="仿宋" w:eastAsia="仿宋_GB2312"/>
          <w:sz w:val="32"/>
          <w:szCs w:val="32"/>
        </w:rPr>
        <w:t>（项）：</w:t>
      </w:r>
      <w:r>
        <w:rPr>
          <w:rStyle w:val="18"/>
          <w:rFonts w:hint="eastAsia" w:ascii="仿宋_GB2312" w:hAnsi="仿宋" w:eastAsia="仿宋_GB2312"/>
          <w:b w:val="0"/>
          <w:bCs/>
          <w:color w:val="000000"/>
          <w:sz w:val="32"/>
          <w:szCs w:val="32"/>
        </w:rPr>
        <w:t>反应财政部门安排的事业单位基本医疗保险缴费经费，未参加医疗保险的事业单位的公费医疗经费，按照国家规定享受离退休人员待遇的医疗经费。</w:t>
      </w:r>
    </w:p>
    <w:p w14:paraId="7D26E75E">
      <w:pPr>
        <w:spacing w:line="600" w:lineRule="exact"/>
        <w:ind w:firstLine="640" w:firstLineChars="200"/>
        <w:rPr>
          <w:rStyle w:val="18"/>
          <w:rFonts w:ascii="仿宋_GB2312" w:hAnsi="仿宋" w:eastAsia="仿宋_GB2312"/>
          <w:b w:val="0"/>
          <w:bCs/>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w:t>
      </w:r>
      <w:r>
        <w:rPr>
          <w:rStyle w:val="35"/>
          <w:rFonts w:hint="eastAsia" w:ascii="仿宋_GB2312" w:hAnsi="仿宋" w:eastAsia="仿宋_GB2312"/>
          <w:sz w:val="32"/>
          <w:szCs w:val="32"/>
        </w:rPr>
        <w:t>卫生健康支出（类）医疗救助（款）</w:t>
      </w:r>
      <w:r>
        <w:rPr>
          <w:rStyle w:val="36"/>
          <w:rFonts w:hint="eastAsia" w:ascii="仿宋_GB2312" w:hAnsi="仿宋" w:eastAsia="仿宋_GB2312"/>
          <w:sz w:val="32"/>
          <w:szCs w:val="32"/>
        </w:rPr>
        <w:t>其他医疗救助支出</w:t>
      </w:r>
      <w:r>
        <w:rPr>
          <w:rStyle w:val="35"/>
          <w:rFonts w:hint="eastAsia" w:ascii="仿宋_GB2312" w:hAnsi="仿宋" w:eastAsia="仿宋_GB2312"/>
          <w:sz w:val="32"/>
          <w:szCs w:val="32"/>
        </w:rPr>
        <w:t>（项）：</w:t>
      </w:r>
      <w:r>
        <w:rPr>
          <w:rStyle w:val="18"/>
          <w:rFonts w:hint="eastAsia" w:ascii="仿宋_GB2312" w:hAnsi="仿宋" w:eastAsia="仿宋_GB2312"/>
          <w:b w:val="0"/>
          <w:bCs/>
          <w:color w:val="000000"/>
          <w:sz w:val="32"/>
          <w:szCs w:val="32"/>
        </w:rPr>
        <w:t>反应其他用于医疗补救助方面的支出。</w:t>
      </w:r>
    </w:p>
    <w:p w14:paraId="2979CD9F">
      <w:pPr>
        <w:spacing w:line="600" w:lineRule="exact"/>
        <w:ind w:firstLine="640" w:firstLineChars="200"/>
        <w:rPr>
          <w:rStyle w:val="18"/>
          <w:rFonts w:ascii="仿宋_GB2312" w:hAnsi="仿宋" w:eastAsia="仿宋_GB2312"/>
          <w:b w:val="0"/>
          <w:bCs/>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w:t>
      </w:r>
      <w:r>
        <w:rPr>
          <w:rStyle w:val="35"/>
          <w:rFonts w:hint="eastAsia" w:ascii="仿宋_GB2312" w:hAnsi="仿宋" w:eastAsia="仿宋_GB2312"/>
          <w:sz w:val="32"/>
          <w:szCs w:val="32"/>
        </w:rPr>
        <w:t>卫生健康支出（类）其他卫生健康支出（款）其他卫生健康支出（项）：</w:t>
      </w:r>
      <w:r>
        <w:rPr>
          <w:rStyle w:val="18"/>
          <w:rFonts w:hint="eastAsia" w:ascii="仿宋_GB2312" w:hAnsi="仿宋" w:eastAsia="仿宋_GB2312"/>
          <w:b w:val="0"/>
          <w:bCs/>
          <w:color w:val="000000"/>
          <w:sz w:val="32"/>
          <w:szCs w:val="32"/>
        </w:rPr>
        <w:t>反应其他用于卫生健康方面支出。</w:t>
      </w:r>
    </w:p>
    <w:p w14:paraId="4B5731E8">
      <w:pPr>
        <w:spacing w:line="600" w:lineRule="exact"/>
        <w:ind w:firstLine="640" w:firstLineChars="200"/>
        <w:rPr>
          <w:rFonts w:ascii="仿宋_GB2312" w:hAnsi="仿宋" w:eastAsia="仿宋_GB2312"/>
          <w:bCs/>
          <w:color w:val="000000"/>
          <w:sz w:val="32"/>
          <w:szCs w:val="32"/>
        </w:rPr>
      </w:pPr>
      <w:r>
        <w:rPr>
          <w:rStyle w:val="18"/>
          <w:rFonts w:hint="eastAsia" w:ascii="仿宋_GB2312" w:hAnsi="仿宋" w:eastAsia="仿宋_GB2312"/>
          <w:b w:val="0"/>
          <w:bCs/>
          <w:color w:val="000000"/>
          <w:sz w:val="32"/>
          <w:szCs w:val="32"/>
          <w:lang w:val="en-US" w:eastAsia="zh-CN"/>
        </w:rPr>
        <w:t>16</w:t>
      </w:r>
      <w:r>
        <w:rPr>
          <w:rStyle w:val="18"/>
          <w:rFonts w:hint="eastAsia" w:ascii="仿宋_GB2312" w:hAnsi="仿宋" w:eastAsia="仿宋_GB2312"/>
          <w:b w:val="0"/>
          <w:bCs/>
          <w:color w:val="000000"/>
          <w:sz w:val="32"/>
          <w:szCs w:val="32"/>
        </w:rPr>
        <w:t>.</w:t>
      </w:r>
      <w:r>
        <w:rPr>
          <w:rStyle w:val="35"/>
          <w:rFonts w:hint="eastAsia" w:ascii="仿宋_GB2312" w:hAnsi="仿宋" w:eastAsia="仿宋_GB2312"/>
          <w:sz w:val="32"/>
          <w:szCs w:val="32"/>
        </w:rPr>
        <w:t>住房保障支出（类）住房改革支出（款）</w:t>
      </w:r>
      <w:r>
        <w:rPr>
          <w:rStyle w:val="36"/>
          <w:rFonts w:hint="eastAsia" w:ascii="仿宋_GB2312" w:hAnsi="仿宋" w:eastAsia="仿宋_GB2312"/>
          <w:sz w:val="32"/>
          <w:szCs w:val="32"/>
        </w:rPr>
        <w:t>住房公积金</w:t>
      </w:r>
      <w:r>
        <w:rPr>
          <w:rStyle w:val="35"/>
          <w:rFonts w:hint="eastAsia" w:ascii="仿宋_GB2312" w:hAnsi="仿宋" w:eastAsia="仿宋_GB2312"/>
          <w:sz w:val="32"/>
          <w:szCs w:val="32"/>
        </w:rPr>
        <w:t>（项）：</w:t>
      </w:r>
      <w:r>
        <w:rPr>
          <w:rStyle w:val="18"/>
          <w:rFonts w:hint="eastAsia" w:ascii="仿宋_GB2312" w:hAnsi="仿宋" w:eastAsia="仿宋_GB2312"/>
          <w:b w:val="0"/>
          <w:bCs/>
          <w:color w:val="000000"/>
          <w:sz w:val="32"/>
          <w:szCs w:val="32"/>
        </w:rPr>
        <w:t>反应行政事业单位按人力资源和社会保障部、财政部规定的基本工资和津贴不贴以及规定比例为职工缴纳的住房公积金。</w:t>
      </w:r>
    </w:p>
    <w:p w14:paraId="7D5261DC">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17</w:t>
      </w:r>
      <w:r>
        <w:rPr>
          <w:rFonts w:hint="eastAsia" w:ascii="仿宋_GB2312" w:hAnsi="仿宋" w:eastAsia="仿宋_GB2312"/>
          <w:color w:val="000000"/>
          <w:sz w:val="32"/>
          <w:szCs w:val="32"/>
        </w:rPr>
        <w:t>.基本支出：指为保障机构正常运转、完成日常工作任务而发生的人员支出和公用支出。</w:t>
      </w:r>
    </w:p>
    <w:p w14:paraId="3DE65BF8">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18</w:t>
      </w:r>
      <w:r>
        <w:rPr>
          <w:rFonts w:hint="eastAsia" w:ascii="仿宋_GB2312" w:hAnsi="仿宋" w:eastAsia="仿宋_GB2312"/>
          <w:color w:val="000000"/>
          <w:sz w:val="32"/>
          <w:szCs w:val="32"/>
        </w:rPr>
        <w:t xml:space="preserve">.项目支出：指在基本支出之外为完成特定行政任务和事业发展目标所发生的支出。 </w:t>
      </w:r>
    </w:p>
    <w:p w14:paraId="742F2689">
      <w:pPr>
        <w:pStyle w:val="27"/>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19</w:t>
      </w:r>
      <w:r>
        <w:rPr>
          <w:rFonts w:hint="eastAsia" w:ascii="仿宋_GB2312" w:hAnsi="仿宋"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53B21ED">
      <w:pPr>
        <w:pStyle w:val="9"/>
        <w:rPr>
          <w:rFonts w:hint="eastAsia" w:ascii="仿宋_GB2312" w:hAnsi="仿宋" w:eastAsia="仿宋_GB2312"/>
          <w:sz w:val="32"/>
          <w:szCs w:val="32"/>
        </w:rPr>
      </w:pPr>
    </w:p>
    <w:p w14:paraId="7EC9E47A">
      <w:pPr>
        <w:pStyle w:val="9"/>
        <w:rPr>
          <w:rFonts w:hint="eastAsia" w:ascii="仿宋_GB2312" w:hAnsi="仿宋" w:eastAsia="仿宋_GB2312"/>
          <w:sz w:val="32"/>
          <w:szCs w:val="32"/>
        </w:rPr>
      </w:pPr>
    </w:p>
    <w:p w14:paraId="1ACE9D14">
      <w:pPr>
        <w:pStyle w:val="9"/>
        <w:rPr>
          <w:rFonts w:hint="eastAsia" w:ascii="仿宋_GB2312" w:hAnsi="仿宋" w:eastAsia="仿宋_GB2312"/>
          <w:sz w:val="32"/>
          <w:szCs w:val="32"/>
        </w:rPr>
      </w:pPr>
    </w:p>
    <w:p w14:paraId="5D83F48D">
      <w:pPr>
        <w:pStyle w:val="9"/>
        <w:rPr>
          <w:rFonts w:hint="eastAsia" w:ascii="仿宋_GB2312" w:hAnsi="仿宋" w:eastAsia="仿宋_GB2312"/>
          <w:sz w:val="32"/>
          <w:szCs w:val="32"/>
        </w:rPr>
      </w:pPr>
    </w:p>
    <w:p w14:paraId="5B83F4FF">
      <w:pPr>
        <w:pStyle w:val="9"/>
        <w:rPr>
          <w:rFonts w:hint="eastAsia" w:ascii="仿宋_GB2312" w:hAnsi="仿宋" w:eastAsia="仿宋_GB2312"/>
          <w:sz w:val="32"/>
          <w:szCs w:val="32"/>
        </w:rPr>
      </w:pPr>
    </w:p>
    <w:p w14:paraId="51188811">
      <w:pPr>
        <w:pStyle w:val="9"/>
        <w:rPr>
          <w:rFonts w:hint="eastAsia" w:ascii="仿宋_GB2312" w:hAnsi="仿宋" w:eastAsia="仿宋_GB2312"/>
          <w:sz w:val="32"/>
          <w:szCs w:val="32"/>
        </w:rPr>
      </w:pPr>
    </w:p>
    <w:p w14:paraId="730C7BE3">
      <w:pPr>
        <w:pStyle w:val="9"/>
        <w:rPr>
          <w:rFonts w:hint="eastAsia" w:ascii="仿宋_GB2312" w:hAnsi="仿宋" w:eastAsia="仿宋_GB2312"/>
          <w:sz w:val="32"/>
          <w:szCs w:val="32"/>
        </w:rPr>
      </w:pPr>
    </w:p>
    <w:p w14:paraId="7B3D3F5E">
      <w:pPr>
        <w:pStyle w:val="9"/>
        <w:rPr>
          <w:rFonts w:hint="eastAsia" w:ascii="仿宋_GB2312" w:hAnsi="仿宋" w:eastAsia="仿宋_GB2312"/>
          <w:sz w:val="32"/>
          <w:szCs w:val="32"/>
        </w:rPr>
      </w:pPr>
    </w:p>
    <w:p w14:paraId="5C2C77F4">
      <w:pPr>
        <w:pStyle w:val="9"/>
        <w:rPr>
          <w:rFonts w:hint="eastAsia" w:ascii="仿宋_GB2312" w:hAnsi="仿宋" w:eastAsia="仿宋_GB2312"/>
          <w:sz w:val="32"/>
          <w:szCs w:val="32"/>
        </w:rPr>
      </w:pPr>
    </w:p>
    <w:p w14:paraId="1BD51351">
      <w:pPr>
        <w:pStyle w:val="9"/>
        <w:rPr>
          <w:rFonts w:hint="eastAsia" w:ascii="仿宋_GB2312" w:hAnsi="仿宋" w:eastAsia="仿宋_GB2312"/>
          <w:sz w:val="32"/>
          <w:szCs w:val="32"/>
        </w:rPr>
      </w:pPr>
    </w:p>
    <w:p w14:paraId="64F78A41">
      <w:pPr>
        <w:pStyle w:val="9"/>
        <w:rPr>
          <w:rFonts w:hint="eastAsia" w:ascii="仿宋_GB2312" w:hAnsi="仿宋" w:eastAsia="仿宋_GB2312"/>
          <w:sz w:val="32"/>
          <w:szCs w:val="32"/>
        </w:rPr>
      </w:pPr>
    </w:p>
    <w:p w14:paraId="7E4EBCCC">
      <w:pPr>
        <w:pStyle w:val="9"/>
        <w:rPr>
          <w:rFonts w:hint="eastAsia" w:ascii="仿宋_GB2312" w:hAnsi="仿宋" w:eastAsia="仿宋_GB2312"/>
          <w:sz w:val="32"/>
          <w:szCs w:val="32"/>
        </w:rPr>
      </w:pPr>
    </w:p>
    <w:p w14:paraId="59BC3B7B">
      <w:pPr>
        <w:numPr>
          <w:ilvl w:val="0"/>
          <w:numId w:val="3"/>
        </w:numPr>
        <w:spacing w:line="600" w:lineRule="exact"/>
        <w:ind w:left="0" w:leftChars="0" w:firstLine="660" w:firstLineChars="150"/>
        <w:jc w:val="center"/>
        <w:outlineLvl w:val="0"/>
        <w:rPr>
          <w:rFonts w:hint="eastAsia" w:ascii="仿宋" w:hAnsi="仿宋" w:eastAsia="仿宋"/>
          <w:b w:val="0"/>
          <w:color w:val="auto"/>
          <w:highlight w:val="none"/>
        </w:rPr>
      </w:pPr>
      <w:bookmarkStart w:id="115" w:name="_Toc4718"/>
      <w:r>
        <w:rPr>
          <w:rStyle w:val="29"/>
          <w:rFonts w:hint="eastAsia" w:ascii="黑体" w:hAnsi="黑体" w:eastAsia="黑体"/>
          <w:b w:val="0"/>
          <w:color w:val="auto"/>
          <w:highlight w:val="none"/>
        </w:rPr>
        <w:t>附件</w:t>
      </w:r>
      <w:bookmarkEnd w:id="111"/>
      <w:bookmarkEnd w:id="112"/>
      <w:bookmarkEnd w:id="113"/>
      <w:bookmarkEnd w:id="115"/>
      <w:bookmarkStart w:id="116" w:name="_Toc13340"/>
      <w:bookmarkStart w:id="117" w:name="_Toc28412"/>
      <w:bookmarkStart w:id="118" w:name="_Toc21812"/>
      <w:bookmarkStart w:id="119" w:name="_Toc15396618"/>
    </w:p>
    <w:p w14:paraId="0966354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120" w:name="_Toc6567"/>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0CF1E6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16CD37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6BC3E6F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111F70C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cs="Times New Roman"/>
          <w:sz w:val="33"/>
          <w:szCs w:val="33"/>
        </w:rPr>
      </w:pPr>
      <w:r>
        <w:rPr>
          <w:rFonts w:hint="eastAsia" w:ascii="Times New Roman" w:hAnsi="Times New Roman" w:eastAsia="黑体" w:cs="Times New Roman"/>
          <w:color w:val="000000"/>
          <w:kern w:val="0"/>
          <w:sz w:val="33"/>
          <w:szCs w:val="33"/>
          <w:highlight w:val="none"/>
          <w:shd w:val="clear" w:color="auto" w:fill="FFFFFF"/>
          <w:lang w:val="zh-CN"/>
        </w:rPr>
        <w:t>一、</w:t>
      </w:r>
      <w:r>
        <w:rPr>
          <w:rFonts w:hint="default" w:ascii="Times New Roman" w:hAnsi="Times New Roman" w:eastAsia="黑体" w:cs="Times New Roman"/>
          <w:color w:val="000000"/>
          <w:kern w:val="0"/>
          <w:sz w:val="33"/>
          <w:szCs w:val="33"/>
          <w:highlight w:val="none"/>
          <w:shd w:val="clear" w:color="auto" w:fill="FFFFFF"/>
          <w:lang w:val="zh-CN"/>
        </w:rPr>
        <w:t>部门（单位）基本情况</w:t>
      </w:r>
    </w:p>
    <w:p w14:paraId="4CAC156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cs="Times New Roman"/>
          <w:sz w:val="33"/>
          <w:szCs w:val="33"/>
        </w:rPr>
      </w:pPr>
      <w:r>
        <w:rPr>
          <w:rFonts w:hint="eastAsia" w:ascii="Times New Roman" w:hAnsi="Times New Roman" w:eastAsia="楷体_GB2312" w:cs="Times New Roman"/>
          <w:b/>
          <w:bCs/>
          <w:color w:val="000000"/>
          <w:kern w:val="0"/>
          <w:sz w:val="33"/>
          <w:szCs w:val="33"/>
          <w:highlight w:val="none"/>
          <w:shd w:val="clear" w:color="auto" w:fill="FFFFFF"/>
          <w:lang w:val="zh-CN"/>
        </w:rPr>
        <w:t>（一）</w:t>
      </w:r>
      <w:r>
        <w:rPr>
          <w:rFonts w:hint="default" w:ascii="Times New Roman" w:hAnsi="Times New Roman" w:eastAsia="楷体_GB2312" w:cs="Times New Roman"/>
          <w:b/>
          <w:bCs/>
          <w:color w:val="000000"/>
          <w:kern w:val="0"/>
          <w:sz w:val="33"/>
          <w:szCs w:val="33"/>
          <w:highlight w:val="none"/>
          <w:shd w:val="clear" w:color="auto" w:fill="FFFFFF"/>
          <w:lang w:val="zh-CN"/>
        </w:rPr>
        <w:t>机构组成。</w:t>
      </w:r>
      <w:r>
        <w:rPr>
          <w:rFonts w:hint="default" w:ascii="Times New Roman" w:hAnsi="Times New Roman" w:cs="Times New Roman"/>
          <w:sz w:val="33"/>
          <w:szCs w:val="33"/>
        </w:rPr>
        <w:t>遂宁市疾病预防控制中心于2002年8月在原市卫生防疫站基础上撤并组建成立，是市政府举办的财政全额拨款的公益一类卫生事业单位，接受同级卫生行政主管部门管理和上级疾病预防控制机构业务指导，依法承担疾病预防控制、突发公共卫生事件应急处置、疫情报告及健康相关因素信息管理、健康危害因素监测与干预、实验室检测分析与评价等公共卫生职能。根据遂编委发</w:t>
      </w:r>
      <w:r>
        <w:rPr>
          <w:rFonts w:hint="eastAsia" w:ascii="仿宋_GB2312" w:hAnsi="仿宋_GB2312" w:eastAsia="仿宋_GB2312" w:cs="仿宋_GB2312"/>
          <w:sz w:val="33"/>
          <w:szCs w:val="33"/>
        </w:rPr>
        <w:t>〔</w:t>
      </w:r>
      <w:r>
        <w:rPr>
          <w:rFonts w:hint="default" w:ascii="Times New Roman" w:hAnsi="Times New Roman" w:cs="Times New Roman"/>
          <w:sz w:val="33"/>
          <w:szCs w:val="33"/>
        </w:rPr>
        <w:t>2022</w:t>
      </w:r>
      <w:r>
        <w:rPr>
          <w:rFonts w:hint="eastAsia" w:ascii="仿宋_GB2312" w:hAnsi="仿宋_GB2312" w:eastAsia="仿宋_GB2312" w:cs="仿宋_GB2312"/>
          <w:sz w:val="33"/>
          <w:szCs w:val="33"/>
        </w:rPr>
        <w:t>〕</w:t>
      </w:r>
      <w:r>
        <w:rPr>
          <w:rFonts w:hint="default" w:ascii="Times New Roman" w:hAnsi="Times New Roman" w:cs="Times New Roman"/>
          <w:sz w:val="33"/>
          <w:szCs w:val="33"/>
        </w:rPr>
        <w:t>33号文件，将原遂宁市健康教育所、遂宁市药具中心在编人员全部划入遂宁市疾病预防控制中心，核定中心内设机构15个。</w:t>
      </w:r>
    </w:p>
    <w:p w14:paraId="5E5F252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（二）机构职能</w:t>
      </w:r>
      <w:r>
        <w:rPr>
          <w:rFonts w:hint="eastAsia"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cs="Times New Roman"/>
          <w:sz w:val="33"/>
          <w:szCs w:val="33"/>
          <w:lang w:val="en-US" w:eastAsia="zh-CN"/>
        </w:rPr>
        <w:t>我中心是市政府举办的实施疾病预防控制、公共卫生技术管理和服务财政全额拨款的公益性事业单位，在市卫健委的领导下，具体实施政府对疾病预防控制、公共卫生技术支撑、健康危害因素监测的职能。</w:t>
      </w:r>
    </w:p>
    <w:p w14:paraId="3DB9C60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jc w:val="both"/>
        <w:textAlignment w:val="auto"/>
        <w:rPr>
          <w:rFonts w:hint="default" w:ascii="Times New Roman" w:hAnsi="Times New Roman" w:cs="Times New Roman"/>
          <w:sz w:val="33"/>
          <w:szCs w:val="33"/>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）人员概况</w:t>
      </w:r>
      <w:r>
        <w:rPr>
          <w:rFonts w:hint="eastAsia"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cs="Times New Roman"/>
          <w:sz w:val="33"/>
          <w:szCs w:val="33"/>
        </w:rPr>
        <w:t>截至202</w:t>
      </w:r>
      <w:r>
        <w:rPr>
          <w:rFonts w:hint="eastAsia" w:cs="Times New Roman"/>
          <w:sz w:val="33"/>
          <w:szCs w:val="33"/>
          <w:lang w:val="en-US" w:eastAsia="zh-CN"/>
        </w:rPr>
        <w:t>4</w:t>
      </w:r>
      <w:r>
        <w:rPr>
          <w:rFonts w:hint="default" w:ascii="Times New Roman" w:hAnsi="Times New Roman" w:cs="Times New Roman"/>
          <w:sz w:val="33"/>
          <w:szCs w:val="33"/>
        </w:rPr>
        <w:t>年末，</w:t>
      </w:r>
      <w:r>
        <w:rPr>
          <w:rFonts w:hint="eastAsia" w:ascii="Times New Roman" w:hAnsi="Times New Roman" w:cs="Times New Roman"/>
          <w:sz w:val="33"/>
          <w:szCs w:val="33"/>
          <w:lang w:val="en-US" w:eastAsia="zh-CN"/>
        </w:rPr>
        <w:t>我单位编制人数123人，年末实有人数10</w:t>
      </w:r>
      <w:r>
        <w:rPr>
          <w:rFonts w:hint="eastAsia" w:cs="Times New Roman"/>
          <w:sz w:val="33"/>
          <w:szCs w:val="33"/>
          <w:lang w:val="en-US" w:eastAsia="zh-CN"/>
        </w:rPr>
        <w:t>5</w:t>
      </w:r>
      <w:r>
        <w:rPr>
          <w:rFonts w:hint="eastAsia" w:ascii="Times New Roman" w:hAnsi="Times New Roman" w:cs="Times New Roman"/>
          <w:sz w:val="33"/>
          <w:szCs w:val="33"/>
          <w:lang w:val="en-US" w:eastAsia="zh-CN"/>
        </w:rPr>
        <w:t>人，较上年度增加</w:t>
      </w:r>
      <w:r>
        <w:rPr>
          <w:rFonts w:hint="eastAsia" w:cs="Times New Roman"/>
          <w:sz w:val="33"/>
          <w:szCs w:val="33"/>
          <w:lang w:val="en-US" w:eastAsia="zh-CN"/>
        </w:rPr>
        <w:t>1</w:t>
      </w:r>
      <w:r>
        <w:rPr>
          <w:rFonts w:hint="eastAsia" w:ascii="Times New Roman" w:hAnsi="Times New Roman" w:cs="Times New Roman"/>
          <w:sz w:val="33"/>
          <w:szCs w:val="33"/>
          <w:lang w:val="en-US" w:eastAsia="zh-CN"/>
        </w:rPr>
        <w:t>人。年末退休人员</w:t>
      </w:r>
      <w:r>
        <w:rPr>
          <w:rFonts w:hint="eastAsia" w:cs="Times New Roman"/>
          <w:sz w:val="33"/>
          <w:szCs w:val="33"/>
          <w:highlight w:val="none"/>
          <w:lang w:val="en-US" w:eastAsia="zh-CN"/>
        </w:rPr>
        <w:t>46</w:t>
      </w:r>
      <w:r>
        <w:rPr>
          <w:rFonts w:hint="eastAsia" w:ascii="Times New Roman" w:hAnsi="Times New Roman" w:cs="Times New Roman"/>
          <w:sz w:val="33"/>
          <w:szCs w:val="33"/>
          <w:lang w:val="en-US" w:eastAsia="zh-CN"/>
        </w:rPr>
        <w:t>人。</w:t>
      </w:r>
    </w:p>
    <w:p w14:paraId="355695D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rPr>
        <w:t>二、</w:t>
      </w:r>
      <w:r>
        <w:rPr>
          <w:rFonts w:hint="default" w:ascii="Times New Roman" w:hAnsi="Times New Roman" w:eastAsia="黑体" w:cs="Times New Roman"/>
          <w:color w:val="000000"/>
          <w:kern w:val="0"/>
          <w:sz w:val="33"/>
          <w:szCs w:val="33"/>
          <w:highlight w:val="none"/>
          <w:shd w:val="clear" w:color="auto" w:fill="FFFFFF"/>
          <w:lang w:eastAsia="zh-CN"/>
        </w:rPr>
        <w:t>部门</w:t>
      </w:r>
      <w:r>
        <w:rPr>
          <w:rFonts w:hint="default" w:ascii="Times New Roman" w:hAnsi="Times New Roman" w:eastAsia="黑体" w:cs="Times New Roman"/>
          <w:color w:val="000000"/>
          <w:kern w:val="0"/>
          <w:sz w:val="33"/>
          <w:szCs w:val="33"/>
          <w:highlight w:val="none"/>
          <w:shd w:val="clear" w:color="auto" w:fill="FFFFFF"/>
        </w:rPr>
        <w:t>资金收支情况</w:t>
      </w:r>
    </w:p>
    <w:p w14:paraId="30C0375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en-US"/>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收入情况</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cs="Times New Roman"/>
          <w:sz w:val="33"/>
          <w:szCs w:val="33"/>
          <w:lang w:val="en-US" w:eastAsia="zh-CN"/>
        </w:rPr>
        <w:t>202</w:t>
      </w:r>
      <w:r>
        <w:rPr>
          <w:rFonts w:hint="eastAsia" w:cs="Times New Roman"/>
          <w:sz w:val="33"/>
          <w:szCs w:val="33"/>
          <w:lang w:val="en-US" w:eastAsia="zh-CN"/>
        </w:rPr>
        <w:t>4</w:t>
      </w:r>
      <w:r>
        <w:rPr>
          <w:rFonts w:hint="eastAsia" w:ascii="Times New Roman" w:hAnsi="Times New Roman" w:cs="Times New Roman"/>
          <w:sz w:val="33"/>
          <w:szCs w:val="33"/>
          <w:lang w:val="en-US" w:eastAsia="zh-CN"/>
        </w:rPr>
        <w:t>年市疾控中心年初预</w:t>
      </w:r>
      <w:r>
        <w:rPr>
          <w:rFonts w:hint="eastAsia" w:cs="Times New Roman"/>
          <w:sz w:val="33"/>
          <w:szCs w:val="33"/>
          <w:lang w:val="en-US" w:eastAsia="zh-CN"/>
        </w:rPr>
        <w:t>算</w:t>
      </w:r>
      <w:r>
        <w:rPr>
          <w:rFonts w:hint="eastAsia" w:cs="Times New Roman"/>
          <w:color w:val="auto"/>
          <w:sz w:val="33"/>
          <w:szCs w:val="33"/>
          <w:lang w:val="en-US" w:eastAsia="zh-CN"/>
        </w:rPr>
        <w:t>3,090.09</w:t>
      </w:r>
      <w:r>
        <w:rPr>
          <w:rFonts w:hint="eastAsia" w:ascii="Times New Roman" w:hAnsi="Times New Roman" w:cs="Times New Roman"/>
          <w:sz w:val="33"/>
          <w:szCs w:val="33"/>
          <w:lang w:val="en-US" w:eastAsia="zh-CN"/>
        </w:rPr>
        <w:t>万元，其中年初财政拨</w:t>
      </w:r>
      <w:r>
        <w:rPr>
          <w:rFonts w:hint="eastAsia" w:ascii="Times New Roman" w:hAnsi="Times New Roman" w:cs="Times New Roman"/>
          <w:color w:val="auto"/>
          <w:sz w:val="33"/>
          <w:szCs w:val="33"/>
          <w:lang w:val="en-US" w:eastAsia="zh-CN"/>
        </w:rPr>
        <w:t>款</w:t>
      </w:r>
      <w:r>
        <w:rPr>
          <w:rFonts w:hint="eastAsia" w:cs="Times New Roman"/>
          <w:color w:val="auto"/>
          <w:sz w:val="33"/>
          <w:szCs w:val="33"/>
          <w:lang w:val="en-US" w:eastAsia="zh-CN"/>
        </w:rPr>
        <w:t>3,090.09</w:t>
      </w:r>
      <w:r>
        <w:rPr>
          <w:rFonts w:hint="eastAsia" w:ascii="Times New Roman" w:hAnsi="Times New Roman" w:cs="Times New Roman"/>
          <w:color w:val="auto"/>
          <w:sz w:val="33"/>
          <w:szCs w:val="33"/>
          <w:lang w:val="en-US" w:eastAsia="zh-CN"/>
        </w:rPr>
        <w:t>万元，年初结转结余0。全年预算数4,301.84万元，决算数为3,332.38万元</w:t>
      </w:r>
      <w:r>
        <w:rPr>
          <w:rFonts w:hint="eastAsia" w:ascii="Times New Roman" w:hAnsi="Times New Roman" w:cs="Times New Roman"/>
          <w:sz w:val="33"/>
          <w:szCs w:val="33"/>
          <w:lang w:val="en-US" w:eastAsia="zh-CN"/>
        </w:rPr>
        <w:t>。</w:t>
      </w:r>
    </w:p>
    <w:p w14:paraId="0437354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cs="Times New Roman"/>
          <w:sz w:val="33"/>
          <w:szCs w:val="33"/>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二</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支出情况</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cs="Times New Roman"/>
          <w:sz w:val="33"/>
          <w:szCs w:val="33"/>
          <w:lang w:val="en-US" w:eastAsia="zh-CN"/>
        </w:rPr>
        <w:t>202</w:t>
      </w:r>
      <w:r>
        <w:rPr>
          <w:rFonts w:hint="eastAsia" w:cs="Times New Roman"/>
          <w:sz w:val="33"/>
          <w:szCs w:val="33"/>
          <w:lang w:val="en-US" w:eastAsia="zh-CN"/>
        </w:rPr>
        <w:t>4</w:t>
      </w:r>
      <w:r>
        <w:rPr>
          <w:rFonts w:hint="eastAsia" w:ascii="Times New Roman" w:hAnsi="Times New Roman" w:cs="Times New Roman"/>
          <w:sz w:val="33"/>
          <w:szCs w:val="33"/>
          <w:lang w:val="en-US" w:eastAsia="zh-CN"/>
        </w:rPr>
        <w:t>年度，市疾控中心财政支出年初预算为</w:t>
      </w:r>
      <w:r>
        <w:rPr>
          <w:rFonts w:hint="eastAsia" w:ascii="Times New Roman" w:hAnsi="Times New Roman" w:cs="Times New Roman"/>
          <w:color w:val="auto"/>
          <w:sz w:val="33"/>
          <w:szCs w:val="33"/>
          <w:lang w:val="en-US" w:eastAsia="zh-CN"/>
        </w:rPr>
        <w:t>3,090.09</w:t>
      </w:r>
      <w:r>
        <w:rPr>
          <w:rFonts w:hint="eastAsia" w:ascii="Times New Roman" w:hAnsi="Times New Roman" w:cs="Times New Roman"/>
          <w:sz w:val="33"/>
          <w:szCs w:val="33"/>
          <w:lang w:val="en-US" w:eastAsia="zh-CN"/>
        </w:rPr>
        <w:t>万元，全年预算数</w:t>
      </w:r>
      <w:r>
        <w:rPr>
          <w:rFonts w:hint="eastAsia" w:ascii="Times New Roman" w:hAnsi="Times New Roman" w:cs="Times New Roman"/>
          <w:color w:val="auto"/>
          <w:sz w:val="33"/>
          <w:szCs w:val="33"/>
          <w:lang w:val="en-US" w:eastAsia="zh-CN"/>
        </w:rPr>
        <w:t>4,301.84</w:t>
      </w:r>
      <w:r>
        <w:rPr>
          <w:rFonts w:hint="eastAsia" w:ascii="Times New Roman" w:hAnsi="Times New Roman" w:cs="Times New Roman"/>
          <w:sz w:val="33"/>
          <w:szCs w:val="33"/>
          <w:lang w:val="en-US" w:eastAsia="zh-CN"/>
        </w:rPr>
        <w:t>万元，决算数为</w:t>
      </w:r>
      <w:r>
        <w:rPr>
          <w:rFonts w:hint="eastAsia" w:ascii="Times New Roman" w:hAnsi="Times New Roman" w:cs="Times New Roman"/>
          <w:color w:val="auto"/>
          <w:sz w:val="33"/>
          <w:szCs w:val="33"/>
          <w:lang w:val="en-US" w:eastAsia="zh-CN"/>
        </w:rPr>
        <w:t>3,332.38</w:t>
      </w:r>
      <w:r>
        <w:rPr>
          <w:rFonts w:hint="eastAsia" w:ascii="Times New Roman" w:hAnsi="Times New Roman" w:cs="Times New Roman"/>
          <w:sz w:val="33"/>
          <w:szCs w:val="33"/>
          <w:lang w:val="en-US" w:eastAsia="zh-CN"/>
        </w:rPr>
        <w:t>万元。部门支出预算执行总额为</w:t>
      </w:r>
      <w:r>
        <w:rPr>
          <w:rFonts w:hint="eastAsia" w:ascii="Times New Roman" w:hAnsi="Times New Roman" w:cs="Times New Roman"/>
          <w:color w:val="auto"/>
          <w:sz w:val="33"/>
          <w:szCs w:val="33"/>
          <w:lang w:val="en-US" w:eastAsia="zh-CN"/>
        </w:rPr>
        <w:t>3,332.38</w:t>
      </w:r>
      <w:r>
        <w:rPr>
          <w:rFonts w:hint="eastAsia" w:ascii="Times New Roman" w:hAnsi="Times New Roman" w:cs="Times New Roman"/>
          <w:sz w:val="33"/>
          <w:szCs w:val="33"/>
          <w:lang w:val="en-US" w:eastAsia="zh-CN"/>
        </w:rPr>
        <w:t>万元，部门总体执行进度为</w:t>
      </w:r>
      <w:r>
        <w:rPr>
          <w:rFonts w:hint="eastAsia" w:cs="Times New Roman"/>
          <w:color w:val="auto"/>
          <w:sz w:val="33"/>
          <w:szCs w:val="33"/>
          <w:lang w:val="en-US" w:eastAsia="zh-CN"/>
        </w:rPr>
        <w:t>77.46</w:t>
      </w:r>
      <w:r>
        <w:rPr>
          <w:rFonts w:hint="eastAsia" w:ascii="Times New Roman" w:hAnsi="Times New Roman" w:cs="Times New Roman"/>
          <w:color w:val="auto"/>
          <w:sz w:val="33"/>
          <w:szCs w:val="33"/>
          <w:lang w:val="en-US" w:eastAsia="zh-CN"/>
        </w:rPr>
        <w:t>%</w:t>
      </w:r>
      <w:r>
        <w:rPr>
          <w:rFonts w:hint="eastAsia" w:ascii="Times New Roman" w:hAnsi="Times New Roman" w:cs="Times New Roman"/>
          <w:sz w:val="33"/>
          <w:szCs w:val="33"/>
          <w:lang w:val="en-US" w:eastAsia="zh-CN"/>
        </w:rPr>
        <w:t>，其中：基本支出预算总额为</w:t>
      </w:r>
      <w:r>
        <w:rPr>
          <w:rFonts w:hint="eastAsia" w:ascii="Times New Roman" w:hAnsi="Times New Roman" w:cs="Times New Roman"/>
          <w:color w:val="auto"/>
          <w:sz w:val="33"/>
          <w:szCs w:val="33"/>
          <w:lang w:val="en-US" w:eastAsia="zh-CN"/>
        </w:rPr>
        <w:t>2,340.1</w:t>
      </w:r>
      <w:r>
        <w:rPr>
          <w:rFonts w:hint="eastAsia" w:cs="Times New Roman"/>
          <w:color w:val="auto"/>
          <w:sz w:val="33"/>
          <w:szCs w:val="33"/>
          <w:lang w:val="en-US" w:eastAsia="zh-CN"/>
        </w:rPr>
        <w:t>1</w:t>
      </w:r>
      <w:r>
        <w:rPr>
          <w:rFonts w:hint="eastAsia" w:ascii="Times New Roman" w:hAnsi="Times New Roman" w:cs="Times New Roman"/>
          <w:sz w:val="33"/>
          <w:szCs w:val="33"/>
          <w:lang w:val="en-US" w:eastAsia="zh-CN"/>
        </w:rPr>
        <w:t>万元，基本支出执行总额为</w:t>
      </w:r>
      <w:r>
        <w:rPr>
          <w:rFonts w:hint="eastAsia" w:ascii="Times New Roman" w:hAnsi="Times New Roman" w:cs="Times New Roman"/>
          <w:color w:val="auto"/>
          <w:sz w:val="33"/>
          <w:szCs w:val="33"/>
          <w:lang w:val="en-US" w:eastAsia="zh-CN"/>
        </w:rPr>
        <w:t>2,179.88</w:t>
      </w:r>
      <w:r>
        <w:rPr>
          <w:rFonts w:hint="eastAsia" w:ascii="Times New Roman" w:hAnsi="Times New Roman" w:cs="Times New Roman"/>
          <w:sz w:val="33"/>
          <w:szCs w:val="33"/>
          <w:lang w:val="en-US" w:eastAsia="zh-CN"/>
        </w:rPr>
        <w:t>元，基本支出总体执行进度</w:t>
      </w:r>
      <w:r>
        <w:rPr>
          <w:rFonts w:hint="eastAsia" w:ascii="Times New Roman" w:hAnsi="Times New Roman" w:cs="Times New Roman"/>
          <w:color w:val="auto"/>
          <w:sz w:val="33"/>
          <w:szCs w:val="33"/>
          <w:lang w:val="en-US" w:eastAsia="zh-CN"/>
        </w:rPr>
        <w:t>93.15%</w:t>
      </w:r>
      <w:r>
        <w:rPr>
          <w:rFonts w:hint="eastAsia" w:ascii="Times New Roman" w:hAnsi="Times New Roman" w:cs="Times New Roman"/>
          <w:sz w:val="33"/>
          <w:szCs w:val="33"/>
          <w:lang w:val="en-US" w:eastAsia="zh-CN"/>
        </w:rPr>
        <w:t>；项目支出预算总额为</w:t>
      </w:r>
      <w:r>
        <w:rPr>
          <w:rFonts w:hint="eastAsia" w:ascii="Times New Roman" w:hAnsi="Times New Roman" w:cs="Times New Roman"/>
          <w:color w:val="auto"/>
          <w:sz w:val="33"/>
          <w:szCs w:val="33"/>
          <w:lang w:val="en-US" w:eastAsia="zh-CN"/>
        </w:rPr>
        <w:t>1,961.73</w:t>
      </w:r>
      <w:r>
        <w:rPr>
          <w:rFonts w:hint="eastAsia" w:ascii="Times New Roman" w:hAnsi="Times New Roman" w:cs="Times New Roman"/>
          <w:sz w:val="33"/>
          <w:szCs w:val="33"/>
          <w:lang w:val="en-US" w:eastAsia="zh-CN"/>
        </w:rPr>
        <w:t>万元，项目支出执行总额为</w:t>
      </w:r>
      <w:r>
        <w:rPr>
          <w:rFonts w:hint="eastAsia" w:ascii="Times New Roman" w:hAnsi="Times New Roman" w:cs="Times New Roman"/>
          <w:color w:val="auto"/>
          <w:sz w:val="33"/>
          <w:szCs w:val="33"/>
          <w:lang w:val="en-US" w:eastAsia="zh-CN"/>
        </w:rPr>
        <w:t>1,152.50</w:t>
      </w:r>
      <w:r>
        <w:rPr>
          <w:rFonts w:hint="eastAsia" w:ascii="Times New Roman" w:hAnsi="Times New Roman" w:cs="Times New Roman"/>
          <w:sz w:val="33"/>
          <w:szCs w:val="33"/>
          <w:lang w:val="en-US" w:eastAsia="zh-CN"/>
        </w:rPr>
        <w:t>万元，项目支出总体执行进</w:t>
      </w:r>
      <w:r>
        <w:rPr>
          <w:rFonts w:hint="eastAsia" w:ascii="Times New Roman" w:hAnsi="Times New Roman" w:cs="Times New Roman"/>
          <w:color w:val="auto"/>
          <w:sz w:val="33"/>
          <w:szCs w:val="33"/>
          <w:lang w:val="en-US" w:eastAsia="zh-CN"/>
        </w:rPr>
        <w:t>度58.75%</w:t>
      </w:r>
      <w:r>
        <w:rPr>
          <w:rFonts w:hint="eastAsia" w:ascii="Times New Roman" w:hAnsi="Times New Roman" w:cs="Times New Roman"/>
          <w:sz w:val="33"/>
          <w:szCs w:val="33"/>
          <w:lang w:val="en-US" w:eastAsia="zh-CN"/>
        </w:rPr>
        <w:t>。</w:t>
      </w:r>
    </w:p>
    <w:p w14:paraId="64728FC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仿宋_GB2312" w:cs="Times New Roman"/>
          <w:b w:val="0"/>
          <w:bCs w:val="0"/>
          <w:color w:val="000000"/>
          <w:kern w:val="0"/>
          <w:sz w:val="33"/>
          <w:szCs w:val="33"/>
          <w:highlight w:val="none"/>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sz w:val="33"/>
          <w:szCs w:val="33"/>
        </w:rPr>
        <w:t>结余分配和结转结余情况</w:t>
      </w:r>
      <w:r>
        <w:rPr>
          <w:rFonts w:hint="eastAsia" w:ascii="Times New Roman" w:hAnsi="Times New Roman" w:eastAsia="楷体_GB2312" w:cs="Times New Roman"/>
          <w:b/>
          <w:sz w:val="33"/>
          <w:szCs w:val="33"/>
          <w:lang w:eastAsia="zh-CN"/>
        </w:rPr>
        <w:t>。</w:t>
      </w:r>
      <w:r>
        <w:rPr>
          <w:rFonts w:hint="eastAsia" w:ascii="Times New Roman" w:hAnsi="Times New Roman" w:cs="Times New Roman"/>
          <w:sz w:val="33"/>
          <w:szCs w:val="33"/>
          <w:lang w:val="en-US" w:eastAsia="zh-CN"/>
        </w:rPr>
        <w:t>202</w:t>
      </w:r>
      <w:r>
        <w:rPr>
          <w:rFonts w:hint="eastAsia" w:cs="Times New Roman"/>
          <w:sz w:val="33"/>
          <w:szCs w:val="33"/>
          <w:lang w:val="en-US" w:eastAsia="zh-CN"/>
        </w:rPr>
        <w:t>4</w:t>
      </w:r>
      <w:r>
        <w:rPr>
          <w:rFonts w:hint="eastAsia" w:ascii="Times New Roman" w:hAnsi="Times New Roman" w:cs="Times New Roman"/>
          <w:sz w:val="33"/>
          <w:szCs w:val="33"/>
          <w:lang w:val="en-US" w:eastAsia="zh-CN"/>
        </w:rPr>
        <w:t>年决算报表</w:t>
      </w:r>
      <w:r>
        <w:rPr>
          <w:rFonts w:hint="default" w:ascii="Times New Roman" w:hAnsi="Times New Roman" w:eastAsia="仿宋_GB2312" w:cs="Times New Roman"/>
          <w:b w:val="0"/>
          <w:bCs w:val="0"/>
          <w:color w:val="000000"/>
          <w:kern w:val="0"/>
          <w:sz w:val="33"/>
          <w:szCs w:val="33"/>
          <w:highlight w:val="none"/>
          <w:shd w:val="clear" w:color="auto" w:fill="FFFFFF"/>
          <w:lang w:val="en-US" w:eastAsia="zh-CN"/>
        </w:rPr>
        <w:t>结转结余</w:t>
      </w:r>
      <w:r>
        <w:rPr>
          <w:rFonts w:hint="eastAsia" w:cs="Times New Roman"/>
          <w:b w:val="0"/>
          <w:bCs w:val="0"/>
          <w:color w:val="000000"/>
          <w:kern w:val="0"/>
          <w:sz w:val="33"/>
          <w:szCs w:val="33"/>
          <w:highlight w:val="none"/>
          <w:shd w:val="clear" w:color="auto" w:fill="FFFFFF"/>
          <w:lang w:val="en-US" w:eastAsia="zh-CN"/>
        </w:rPr>
        <w:t>为0</w:t>
      </w:r>
      <w:r>
        <w:rPr>
          <w:rFonts w:hint="default" w:ascii="Times New Roman" w:hAnsi="Times New Roman" w:eastAsia="仿宋_GB2312" w:cs="Times New Roman"/>
          <w:b w:val="0"/>
          <w:bCs w:val="0"/>
          <w:color w:val="000000"/>
          <w:kern w:val="0"/>
          <w:sz w:val="33"/>
          <w:szCs w:val="33"/>
          <w:highlight w:val="none"/>
          <w:shd w:val="clear" w:color="auto" w:fill="FFFFFF"/>
          <w:lang w:val="en-US" w:eastAsia="zh-CN"/>
        </w:rPr>
        <w:t>。</w:t>
      </w:r>
    </w:p>
    <w:p w14:paraId="354D794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themeColor="text1"/>
          <w:kern w:val="0"/>
          <w:sz w:val="33"/>
          <w:szCs w:val="33"/>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3"/>
          <w:szCs w:val="33"/>
          <w:highlight w:val="none"/>
          <w:shd w:val="clear" w:color="auto" w:fill="FFFFFF"/>
        </w:rPr>
        <w:t>三、</w:t>
      </w:r>
      <w:r>
        <w:rPr>
          <w:rFonts w:hint="default" w:ascii="Times New Roman" w:hAnsi="Times New Roman" w:eastAsia="黑体" w:cs="Times New Roman"/>
          <w:color w:val="000000"/>
          <w:kern w:val="0"/>
          <w:sz w:val="33"/>
          <w:szCs w:val="33"/>
          <w:highlight w:val="none"/>
          <w:u w:val="none"/>
          <w:shd w:val="clear" w:color="auto" w:fill="FFFFFF"/>
        </w:rPr>
        <w:t>部门</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p>
    <w:p w14:paraId="6E8BC2B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cs="Times New Roman"/>
          <w:color w:val="auto"/>
          <w:kern w:val="0"/>
          <w:sz w:val="33"/>
          <w:szCs w:val="33"/>
          <w:highlight w:val="none"/>
          <w:shd w:val="clear" w:color="auto" w:fill="FFFFFF"/>
          <w:lang w:val="zh-CN"/>
        </w:rPr>
      </w:pPr>
      <w:r>
        <w:rPr>
          <w:rFonts w:hint="default" w:ascii="Times New Roman" w:hAnsi="Times New Roman" w:eastAsia="楷体_GB2312" w:cs="Times New Roman"/>
          <w:b/>
          <w:bCs/>
          <w:color w:val="auto"/>
          <w:kern w:val="0"/>
          <w:sz w:val="33"/>
          <w:szCs w:val="33"/>
          <w:highlight w:val="none"/>
          <w:shd w:val="clear" w:color="auto" w:fill="FFFFFF"/>
          <w:lang w:val="zh-CN"/>
        </w:rPr>
        <w:t>（一）</w:t>
      </w:r>
      <w:r>
        <w:rPr>
          <w:rFonts w:hint="eastAsia" w:ascii="Times New Roman" w:hAnsi="Times New Roman" w:eastAsia="楷体_GB2312" w:cs="Times New Roman"/>
          <w:b/>
          <w:bCs/>
          <w:color w:val="auto"/>
          <w:kern w:val="0"/>
          <w:sz w:val="33"/>
          <w:szCs w:val="33"/>
          <w:highlight w:val="none"/>
          <w:shd w:val="clear" w:color="auto" w:fill="FFFFFF"/>
          <w:lang w:val="zh-CN"/>
        </w:rPr>
        <w:t>部门预算</w:t>
      </w:r>
      <w:r>
        <w:rPr>
          <w:rFonts w:hint="default" w:ascii="Times New Roman" w:hAnsi="Times New Roman" w:eastAsia="楷体_GB2312" w:cs="Times New Roman"/>
          <w:b/>
          <w:bCs/>
          <w:color w:val="auto"/>
          <w:kern w:val="0"/>
          <w:sz w:val="33"/>
          <w:szCs w:val="33"/>
          <w:highlight w:val="none"/>
          <w:shd w:val="clear" w:color="auto" w:fill="FFFFFF"/>
          <w:lang w:val="zh-CN"/>
        </w:rPr>
        <w:t>总体绩效分析。</w:t>
      </w:r>
    </w:p>
    <w:p w14:paraId="10F20BF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auto"/>
          <w:kern w:val="0"/>
          <w:sz w:val="33"/>
          <w:szCs w:val="33"/>
          <w:highlight w:val="none"/>
          <w:shd w:val="clear" w:color="auto" w:fill="FFFFFF"/>
          <w:lang w:val="zh-CN"/>
        </w:rPr>
      </w:pPr>
      <w:r>
        <w:rPr>
          <w:rFonts w:hint="eastAsia" w:ascii="Times New Roman" w:hAnsi="Times New Roman" w:eastAsia="楷体_GB2312" w:cs="楷体_GB2312"/>
          <w:color w:val="auto"/>
          <w:kern w:val="0"/>
          <w:sz w:val="33"/>
          <w:szCs w:val="33"/>
          <w:highlight w:val="none"/>
          <w:shd w:val="clear" w:color="auto" w:fill="FFFFFF"/>
          <w:lang w:val="en-US" w:eastAsia="zh-CN"/>
        </w:rPr>
        <w:t>1.</w:t>
      </w:r>
      <w:r>
        <w:rPr>
          <w:rFonts w:hint="eastAsia" w:ascii="Times New Roman" w:hAnsi="Times New Roman" w:eastAsia="楷体_GB2312" w:cs="楷体_GB2312"/>
          <w:color w:val="auto"/>
          <w:kern w:val="0"/>
          <w:sz w:val="33"/>
          <w:szCs w:val="33"/>
          <w:highlight w:val="none"/>
          <w:shd w:val="clear" w:color="auto" w:fill="FFFFFF"/>
          <w:lang w:val="zh-CN"/>
        </w:rPr>
        <w:t>履职效能。</w:t>
      </w:r>
    </w:p>
    <w:p w14:paraId="6881D50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sz w:val="33"/>
          <w:szCs w:val="33"/>
          <w:lang w:val="zh-CN" w:eastAsia="zh-CN"/>
        </w:rPr>
      </w:pPr>
      <w:r>
        <w:rPr>
          <w:rFonts w:hint="eastAsia" w:ascii="Times New Roman" w:hAnsi="Times New Roman" w:cs="Times New Roman"/>
          <w:sz w:val="33"/>
          <w:szCs w:val="33"/>
          <w:lang w:val="zh-CN" w:eastAsia="zh-CN"/>
        </w:rPr>
        <w:t>（1）重大传染病防治工作。一是继续加强艾滋病防治工作，强化“三线”管理，强化药具规范化管理，扎实开展专项工作。二是稳步推进结核病防治工作。进一步健全工作机制，加强队伍建设，进一步提升防治能力。推进大英县结核病示范区创建评审工作。</w:t>
      </w:r>
    </w:p>
    <w:p w14:paraId="05ECC00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sz w:val="33"/>
          <w:szCs w:val="33"/>
          <w:lang w:val="zh-CN" w:eastAsia="zh-CN"/>
        </w:rPr>
      </w:pPr>
      <w:r>
        <w:rPr>
          <w:rFonts w:hint="eastAsia" w:ascii="Times New Roman" w:hAnsi="Times New Roman" w:cs="Times New Roman"/>
          <w:sz w:val="33"/>
          <w:szCs w:val="33"/>
          <w:lang w:val="zh-CN" w:eastAsia="zh-CN"/>
        </w:rPr>
        <w:t>（2）免疫规划工作。一是继续保持国家免疫规划疫苗接种率以乡为单位达90%以上。二是继续推进18岁以上人群新冠病毒疫苗加强针接种。三是在有助产技术服务的医疗机构实施新生儿卡介苗接种及儿童信息网络报告工作，无禁忌证新生儿卡介苗及时接种率≥95%。四是做好免疫规划示范区复审工作。五是规范入托、入学查验预防接种证工作，防止疫苗可预防传染病暴发流行。六是做好AEFI监测和异常反应诊断和补偿工作。七是做好AFP、麻疹、乙肝哨点等监测工作以及生物制品管理工作。八是继续推动适龄女生接种HPV（宫颈癌）疫苗工作。</w:t>
      </w:r>
    </w:p>
    <w:p w14:paraId="4F7BFF5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sz w:val="33"/>
          <w:szCs w:val="33"/>
          <w:lang w:val="zh-CN" w:eastAsia="zh-CN"/>
        </w:rPr>
      </w:pPr>
      <w:r>
        <w:rPr>
          <w:rFonts w:hint="eastAsia" w:ascii="Times New Roman" w:hAnsi="Times New Roman" w:cs="Times New Roman"/>
          <w:sz w:val="33"/>
          <w:szCs w:val="33"/>
          <w:lang w:val="zh-CN" w:eastAsia="zh-CN"/>
        </w:rPr>
        <w:t>（3）急性传染病防控工作。一是落实重点急性传染病的综合防控工作。二是不断加强急性传染病病原学监测及疫情处置工作。三是强化急性传染病的健康教育。四是进一步规范传染病报告管理工作。五是做好中国疾病信息系统维护工作。</w:t>
      </w:r>
    </w:p>
    <w:p w14:paraId="5EC0B37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sz w:val="33"/>
          <w:szCs w:val="33"/>
          <w:lang w:val="zh-CN" w:eastAsia="zh-CN"/>
        </w:rPr>
      </w:pPr>
      <w:r>
        <w:rPr>
          <w:rFonts w:hint="eastAsia" w:ascii="Times New Roman" w:hAnsi="Times New Roman" w:cs="Times New Roman"/>
          <w:sz w:val="33"/>
          <w:szCs w:val="33"/>
          <w:lang w:val="zh-CN" w:eastAsia="zh-CN"/>
        </w:rPr>
        <w:t>（4）健康危害因素监测工作。一是提升职业病危害因素监测能力，推进县（区）职业卫生能力建设和服务体系建设。二是根据要求积极开展市本级监测任务，分析上报数据。按做好食源性疾病监测工作及食源性疾病事件应急处置工作。三是完成全市放射诊疗机构、非医辐射单位本底资料信息的收集统计，以及放射场所及放射诊疗设备性能检测工作。四是开展农村环境监测，强化地表水源和饮用水检测。五是强化媒介生物工作，做好常规媒介生物监测工作。六是做好学校卫生项目工作。</w:t>
      </w:r>
    </w:p>
    <w:p w14:paraId="0811409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sz w:val="33"/>
          <w:szCs w:val="33"/>
          <w:lang w:val="zh-CN" w:eastAsia="zh-CN"/>
        </w:rPr>
      </w:pPr>
      <w:r>
        <w:rPr>
          <w:rFonts w:hint="eastAsia" w:ascii="Times New Roman" w:hAnsi="Times New Roman" w:cs="Times New Roman"/>
          <w:sz w:val="33"/>
          <w:szCs w:val="33"/>
          <w:lang w:val="zh-CN" w:eastAsia="zh-CN"/>
        </w:rPr>
        <w:t>（5）地方病及慢性病防治等工作。一是加强慢性病监测工作。二是全力推动重点慢性病筛查及项目工作。三是强化慢性病综合防控示范区引领作用。四是深化全民健康生活方式行动。五是加强麻风病防治工作。六是做好碘缺乏病，狂犬病、疟疾、包虫病、土源性线虫防控工作。</w:t>
      </w:r>
    </w:p>
    <w:p w14:paraId="5979B13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auto"/>
          <w:kern w:val="0"/>
          <w:sz w:val="33"/>
          <w:szCs w:val="33"/>
          <w:highlight w:val="none"/>
          <w:shd w:val="clear" w:color="auto" w:fill="FFFFFF"/>
          <w:lang w:val="zh-CN"/>
        </w:rPr>
      </w:pPr>
      <w:r>
        <w:rPr>
          <w:rFonts w:hint="eastAsia" w:ascii="Times New Roman" w:hAnsi="Times New Roman" w:eastAsia="楷体_GB2312" w:cs="楷体_GB2312"/>
          <w:color w:val="auto"/>
          <w:kern w:val="0"/>
          <w:sz w:val="33"/>
          <w:szCs w:val="33"/>
          <w:highlight w:val="none"/>
          <w:shd w:val="clear" w:color="auto" w:fill="FFFFFF"/>
          <w:lang w:val="en-US" w:eastAsia="zh-CN"/>
        </w:rPr>
        <w:t>2.</w:t>
      </w:r>
      <w:r>
        <w:rPr>
          <w:rFonts w:hint="default" w:ascii="Times New Roman" w:hAnsi="Times New Roman" w:eastAsia="楷体_GB2312" w:cs="楷体_GB2312"/>
          <w:color w:val="auto"/>
          <w:kern w:val="0"/>
          <w:sz w:val="33"/>
          <w:szCs w:val="33"/>
          <w:highlight w:val="none"/>
          <w:shd w:val="clear" w:color="auto" w:fill="FFFFFF"/>
          <w:lang w:val="zh-CN"/>
        </w:rPr>
        <w:t>预算管理</w:t>
      </w:r>
      <w:r>
        <w:rPr>
          <w:rFonts w:hint="eastAsia" w:ascii="Times New Roman" w:hAnsi="Times New Roman" w:eastAsia="楷体_GB2312" w:cs="楷体_GB2312"/>
          <w:color w:val="auto"/>
          <w:kern w:val="0"/>
          <w:sz w:val="33"/>
          <w:szCs w:val="33"/>
          <w:highlight w:val="none"/>
          <w:shd w:val="clear" w:color="auto" w:fill="FFFFFF"/>
          <w:lang w:val="zh-CN"/>
        </w:rPr>
        <w:t>。</w:t>
      </w:r>
    </w:p>
    <w:p w14:paraId="7141A17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color w:val="auto"/>
          <w:kern w:val="0"/>
          <w:sz w:val="33"/>
          <w:szCs w:val="33"/>
          <w:highlight w:val="none"/>
          <w:shd w:val="clear" w:color="auto" w:fill="FFFFFF"/>
          <w:lang w:val="zh-CN"/>
        </w:rPr>
      </w:pPr>
      <w:r>
        <w:rPr>
          <w:rFonts w:hint="eastAsia" w:ascii="Times New Roman" w:hAnsi="Times New Roman" w:cs="Times New Roman"/>
          <w:color w:val="auto"/>
          <w:kern w:val="0"/>
          <w:sz w:val="33"/>
          <w:szCs w:val="33"/>
          <w:highlight w:val="none"/>
          <w:shd w:val="clear" w:color="auto" w:fill="FFFFFF"/>
          <w:lang w:val="zh-CN"/>
        </w:rPr>
        <w:t>按照综合预算的原则，市疾控中心所有收入和支出均纳入部门预算管理。收入包括：本年一般公共预算拨款收入2060.81万元，上年结转1029.27万元。支出包括：社会保障和就业支出196.29万元、卫生健康支出2742.32万元、住房保障支出151.48。市疾控中心2024年收支预算3090.09万元，较2023年收支预算总数增加1366.3万元，主要是2024年新增人员经费及公用经费、新增上年结转。</w:t>
      </w:r>
    </w:p>
    <w:p w14:paraId="7C3095D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color w:val="auto"/>
          <w:kern w:val="0"/>
          <w:sz w:val="33"/>
          <w:szCs w:val="33"/>
          <w:highlight w:val="none"/>
          <w:shd w:val="clear" w:color="auto" w:fill="FFFFFF"/>
          <w:lang w:val="zh-CN"/>
        </w:rPr>
      </w:pPr>
      <w:r>
        <w:rPr>
          <w:rFonts w:hint="eastAsia" w:ascii="Times New Roman" w:hAnsi="Times New Roman" w:cs="Times New Roman"/>
          <w:color w:val="auto"/>
          <w:kern w:val="0"/>
          <w:sz w:val="33"/>
          <w:szCs w:val="33"/>
          <w:highlight w:val="none"/>
          <w:shd w:val="clear" w:color="auto" w:fill="FFFFFF"/>
          <w:lang w:val="zh-CN"/>
        </w:rPr>
        <w:t>（</w:t>
      </w:r>
      <w:r>
        <w:rPr>
          <w:rFonts w:hint="eastAsia" w:cs="Times New Roman"/>
          <w:color w:val="auto"/>
          <w:kern w:val="0"/>
          <w:sz w:val="33"/>
          <w:szCs w:val="33"/>
          <w:highlight w:val="none"/>
          <w:shd w:val="clear" w:color="auto" w:fill="FFFFFF"/>
          <w:lang w:val="en-US" w:eastAsia="zh-CN"/>
        </w:rPr>
        <w:t>1</w:t>
      </w:r>
      <w:r>
        <w:rPr>
          <w:rFonts w:hint="eastAsia" w:ascii="Times New Roman" w:hAnsi="Times New Roman" w:cs="Times New Roman"/>
          <w:color w:val="auto"/>
          <w:kern w:val="0"/>
          <w:sz w:val="33"/>
          <w:szCs w:val="33"/>
          <w:highlight w:val="none"/>
          <w:shd w:val="clear" w:color="auto" w:fill="FFFFFF"/>
          <w:lang w:val="zh-CN"/>
        </w:rPr>
        <w:t>）收入预算情况</w:t>
      </w:r>
    </w:p>
    <w:p w14:paraId="45406E9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color w:val="auto"/>
          <w:kern w:val="0"/>
          <w:sz w:val="33"/>
          <w:szCs w:val="33"/>
          <w:highlight w:val="none"/>
          <w:shd w:val="clear" w:color="auto" w:fill="FFFFFF"/>
          <w:lang w:val="zh-CN"/>
        </w:rPr>
      </w:pPr>
      <w:r>
        <w:rPr>
          <w:rFonts w:hint="eastAsia" w:ascii="Times New Roman" w:hAnsi="Times New Roman" w:cs="Times New Roman"/>
          <w:color w:val="auto"/>
          <w:kern w:val="0"/>
          <w:sz w:val="33"/>
          <w:szCs w:val="33"/>
          <w:highlight w:val="none"/>
          <w:shd w:val="clear" w:color="auto" w:fill="FFFFFF"/>
          <w:lang w:val="zh-CN"/>
        </w:rPr>
        <w:t>市疾控中心2024年收入预算2060.81万元，上年结转数1029.27万元。其中：一般公共预算拨款收入3090.09万元，占100%。</w:t>
      </w:r>
    </w:p>
    <w:p w14:paraId="16F2874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color w:val="auto"/>
          <w:kern w:val="0"/>
          <w:sz w:val="33"/>
          <w:szCs w:val="33"/>
          <w:highlight w:val="none"/>
          <w:shd w:val="clear" w:color="auto" w:fill="FFFFFF"/>
          <w:lang w:val="zh-CN"/>
        </w:rPr>
      </w:pPr>
      <w:r>
        <w:rPr>
          <w:rFonts w:hint="eastAsia" w:ascii="Times New Roman" w:hAnsi="Times New Roman" w:cs="Times New Roman"/>
          <w:color w:val="auto"/>
          <w:kern w:val="0"/>
          <w:sz w:val="33"/>
          <w:szCs w:val="33"/>
          <w:highlight w:val="none"/>
          <w:shd w:val="clear" w:color="auto" w:fill="FFFFFF"/>
          <w:lang w:val="zh-CN"/>
        </w:rPr>
        <w:t>（</w:t>
      </w:r>
      <w:r>
        <w:rPr>
          <w:rFonts w:hint="eastAsia" w:cs="Times New Roman"/>
          <w:color w:val="auto"/>
          <w:kern w:val="0"/>
          <w:sz w:val="33"/>
          <w:szCs w:val="33"/>
          <w:highlight w:val="none"/>
          <w:shd w:val="clear" w:color="auto" w:fill="FFFFFF"/>
          <w:lang w:val="en-US" w:eastAsia="zh-CN"/>
        </w:rPr>
        <w:t>2</w:t>
      </w:r>
      <w:r>
        <w:rPr>
          <w:rFonts w:hint="eastAsia" w:ascii="Times New Roman" w:hAnsi="Times New Roman" w:cs="Times New Roman"/>
          <w:color w:val="auto"/>
          <w:kern w:val="0"/>
          <w:sz w:val="33"/>
          <w:szCs w:val="33"/>
          <w:highlight w:val="none"/>
          <w:shd w:val="clear" w:color="auto" w:fill="FFFFFF"/>
          <w:lang w:val="zh-CN"/>
        </w:rPr>
        <w:t>）支出预算情况</w:t>
      </w:r>
    </w:p>
    <w:p w14:paraId="572161B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color w:val="auto"/>
          <w:kern w:val="0"/>
          <w:sz w:val="33"/>
          <w:szCs w:val="33"/>
          <w:highlight w:val="none"/>
          <w:shd w:val="clear" w:color="auto" w:fill="FFFFFF"/>
          <w:lang w:val="zh-CN"/>
        </w:rPr>
      </w:pPr>
      <w:r>
        <w:rPr>
          <w:rFonts w:hint="eastAsia" w:ascii="Times New Roman" w:hAnsi="Times New Roman" w:cs="Times New Roman"/>
          <w:color w:val="auto"/>
          <w:kern w:val="0"/>
          <w:sz w:val="33"/>
          <w:szCs w:val="33"/>
          <w:highlight w:val="none"/>
          <w:shd w:val="clear" w:color="auto" w:fill="FFFFFF"/>
          <w:lang w:val="zh-CN"/>
        </w:rPr>
        <w:t>市疾控中心2024年支出预算3090.09万元，其中：项目支出1192.96万元，占38.61%；基本支出1897.12万元，占61.39%。支出包括：事业单位离退休14.64万元，机关事业单位基本养老保险缴费支出179.92万元，死亡抚恤1.73万元，疾病预防控制机构1630.28万元，事业单位医疗82.77万元，住房公积金151.48万元，基本公共卫生服务62.28万元，重大公共卫生服务609.63万元，其他公共卫生支出10.62万元，其他卫生健康支出346.74万元。</w:t>
      </w:r>
    </w:p>
    <w:p w14:paraId="6D1CA7A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color w:val="auto"/>
          <w:kern w:val="0"/>
          <w:sz w:val="33"/>
          <w:szCs w:val="33"/>
          <w:highlight w:val="none"/>
          <w:shd w:val="clear" w:color="auto" w:fill="FFFFFF"/>
          <w:lang w:val="zh-CN"/>
        </w:rPr>
      </w:pPr>
      <w:r>
        <w:rPr>
          <w:rFonts w:hint="eastAsia" w:cs="Times New Roman"/>
          <w:color w:val="auto"/>
          <w:kern w:val="0"/>
          <w:sz w:val="33"/>
          <w:szCs w:val="33"/>
          <w:highlight w:val="none"/>
          <w:shd w:val="clear" w:color="auto" w:fill="FFFFFF"/>
          <w:lang w:val="en-US" w:eastAsia="zh-CN"/>
        </w:rPr>
        <w:t>3.</w:t>
      </w:r>
      <w:r>
        <w:rPr>
          <w:rFonts w:hint="eastAsia" w:ascii="Times New Roman" w:hAnsi="Times New Roman" w:cs="Times New Roman"/>
          <w:color w:val="auto"/>
          <w:kern w:val="0"/>
          <w:sz w:val="33"/>
          <w:szCs w:val="33"/>
          <w:highlight w:val="none"/>
          <w:shd w:val="clear" w:color="auto" w:fill="FFFFFF"/>
          <w:lang w:val="zh-CN"/>
        </w:rPr>
        <w:t>财政拨款收支预算情况说明</w:t>
      </w:r>
    </w:p>
    <w:p w14:paraId="6034583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color w:val="auto"/>
          <w:kern w:val="0"/>
          <w:sz w:val="33"/>
          <w:szCs w:val="33"/>
          <w:highlight w:val="none"/>
          <w:shd w:val="clear" w:color="auto" w:fill="FFFFFF"/>
          <w:lang w:val="zh-CN"/>
        </w:rPr>
      </w:pPr>
      <w:r>
        <w:rPr>
          <w:rFonts w:hint="eastAsia" w:ascii="Times New Roman" w:hAnsi="Times New Roman" w:cs="Times New Roman"/>
          <w:color w:val="auto"/>
          <w:kern w:val="0"/>
          <w:sz w:val="33"/>
          <w:szCs w:val="33"/>
          <w:highlight w:val="none"/>
          <w:shd w:val="clear" w:color="auto" w:fill="FFFFFF"/>
          <w:lang w:val="zh-CN"/>
        </w:rPr>
        <w:t>市疾控中心2024年3090.09万元，较2023年收支预算总数增加1366.3万元，主要是2024年新增人员经费及公用经费、新增上年结转。</w:t>
      </w:r>
    </w:p>
    <w:p w14:paraId="619E586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color w:val="auto"/>
          <w:kern w:val="0"/>
          <w:sz w:val="33"/>
          <w:szCs w:val="33"/>
          <w:highlight w:val="none"/>
          <w:shd w:val="clear" w:color="auto" w:fill="FFFFFF"/>
          <w:lang w:val="zh-CN"/>
        </w:rPr>
      </w:pPr>
      <w:r>
        <w:rPr>
          <w:rFonts w:hint="eastAsia" w:ascii="Times New Roman" w:hAnsi="Times New Roman" w:cs="Times New Roman"/>
          <w:color w:val="auto"/>
          <w:kern w:val="0"/>
          <w:sz w:val="33"/>
          <w:szCs w:val="33"/>
          <w:highlight w:val="none"/>
          <w:shd w:val="clear" w:color="auto" w:fill="FFFFFF"/>
          <w:lang w:val="zh-CN"/>
        </w:rPr>
        <w:t>收入包括：本年一般公共预算拨款收入2060.81万元，上年结转数1029.27万元。支出包括：社会保障和就业支出196.29万元、卫生健康支出2742.32万元、住房保障支出151.48万元。</w:t>
      </w:r>
    </w:p>
    <w:p w14:paraId="3EDA39A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color w:val="auto"/>
          <w:kern w:val="0"/>
          <w:sz w:val="33"/>
          <w:szCs w:val="33"/>
          <w:highlight w:val="none"/>
          <w:shd w:val="clear" w:color="auto" w:fill="FFFFFF"/>
          <w:lang w:val="zh-CN"/>
        </w:rPr>
      </w:pPr>
      <w:r>
        <w:rPr>
          <w:rFonts w:hint="eastAsia" w:cs="Times New Roman"/>
          <w:color w:val="auto"/>
          <w:kern w:val="0"/>
          <w:sz w:val="33"/>
          <w:szCs w:val="33"/>
          <w:highlight w:val="none"/>
          <w:shd w:val="clear" w:color="auto" w:fill="FFFFFF"/>
          <w:lang w:val="en-US" w:eastAsia="zh-CN"/>
        </w:rPr>
        <w:t>4.</w:t>
      </w:r>
      <w:r>
        <w:rPr>
          <w:rFonts w:hint="eastAsia" w:ascii="Times New Roman" w:hAnsi="Times New Roman" w:cs="Times New Roman"/>
          <w:color w:val="auto"/>
          <w:kern w:val="0"/>
          <w:sz w:val="33"/>
          <w:szCs w:val="33"/>
          <w:highlight w:val="none"/>
          <w:shd w:val="clear" w:color="auto" w:fill="FFFFFF"/>
          <w:lang w:val="zh-CN"/>
        </w:rPr>
        <w:t>一般公共预算当年拨款情况说明</w:t>
      </w:r>
    </w:p>
    <w:p w14:paraId="3CDB68B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color w:val="auto"/>
          <w:kern w:val="0"/>
          <w:sz w:val="33"/>
          <w:szCs w:val="33"/>
          <w:highlight w:val="none"/>
          <w:shd w:val="clear" w:color="auto" w:fill="FFFFFF"/>
          <w:lang w:val="zh-CN"/>
        </w:rPr>
      </w:pPr>
      <w:r>
        <w:rPr>
          <w:rFonts w:hint="eastAsia" w:ascii="Times New Roman" w:hAnsi="Times New Roman" w:cs="Times New Roman"/>
          <w:color w:val="auto"/>
          <w:kern w:val="0"/>
          <w:sz w:val="33"/>
          <w:szCs w:val="33"/>
          <w:highlight w:val="none"/>
          <w:shd w:val="clear" w:color="auto" w:fill="FFFFFF"/>
          <w:lang w:val="zh-CN"/>
        </w:rPr>
        <w:t>（</w:t>
      </w:r>
      <w:r>
        <w:rPr>
          <w:rFonts w:hint="eastAsia" w:cs="Times New Roman"/>
          <w:color w:val="auto"/>
          <w:kern w:val="0"/>
          <w:sz w:val="33"/>
          <w:szCs w:val="33"/>
          <w:highlight w:val="none"/>
          <w:shd w:val="clear" w:color="auto" w:fill="FFFFFF"/>
          <w:lang w:val="en-US" w:eastAsia="zh-CN"/>
        </w:rPr>
        <w:t>1</w:t>
      </w:r>
      <w:r>
        <w:rPr>
          <w:rFonts w:hint="eastAsia" w:ascii="Times New Roman" w:hAnsi="Times New Roman" w:cs="Times New Roman"/>
          <w:color w:val="auto"/>
          <w:kern w:val="0"/>
          <w:sz w:val="33"/>
          <w:szCs w:val="33"/>
          <w:highlight w:val="none"/>
          <w:shd w:val="clear" w:color="auto" w:fill="FFFFFF"/>
          <w:lang w:val="zh-CN"/>
        </w:rPr>
        <w:t>）一般公共预算当年拨款规模变化情况</w:t>
      </w:r>
    </w:p>
    <w:p w14:paraId="191E84A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color w:val="auto"/>
          <w:kern w:val="0"/>
          <w:sz w:val="33"/>
          <w:szCs w:val="33"/>
          <w:highlight w:val="none"/>
          <w:shd w:val="clear" w:color="auto" w:fill="FFFFFF"/>
          <w:lang w:val="zh-CN"/>
        </w:rPr>
      </w:pPr>
      <w:r>
        <w:rPr>
          <w:rFonts w:hint="eastAsia" w:ascii="Times New Roman" w:hAnsi="Times New Roman" w:cs="Times New Roman"/>
          <w:color w:val="auto"/>
          <w:kern w:val="0"/>
          <w:sz w:val="33"/>
          <w:szCs w:val="33"/>
          <w:highlight w:val="none"/>
          <w:shd w:val="clear" w:color="auto" w:fill="FFFFFF"/>
          <w:lang w:val="zh-CN"/>
        </w:rPr>
        <w:t>市疾控中心2024年一般公共预算收支总预算2060.81万元，较2023年收支预算总数增加337.02万元，原因是2024年新增人员经费及公用经费。</w:t>
      </w:r>
    </w:p>
    <w:p w14:paraId="627562C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color w:val="auto"/>
          <w:kern w:val="0"/>
          <w:sz w:val="33"/>
          <w:szCs w:val="33"/>
          <w:highlight w:val="none"/>
          <w:shd w:val="clear" w:color="auto" w:fill="FFFFFF"/>
          <w:lang w:val="zh-CN"/>
        </w:rPr>
      </w:pPr>
      <w:r>
        <w:rPr>
          <w:rFonts w:hint="eastAsia" w:ascii="Times New Roman" w:hAnsi="Times New Roman" w:cs="Times New Roman"/>
          <w:color w:val="auto"/>
          <w:kern w:val="0"/>
          <w:sz w:val="33"/>
          <w:szCs w:val="33"/>
          <w:highlight w:val="none"/>
          <w:shd w:val="clear" w:color="auto" w:fill="FFFFFF"/>
          <w:lang w:val="zh-CN"/>
        </w:rPr>
        <w:t>（</w:t>
      </w:r>
      <w:r>
        <w:rPr>
          <w:rFonts w:hint="eastAsia" w:cs="Times New Roman"/>
          <w:color w:val="auto"/>
          <w:kern w:val="0"/>
          <w:sz w:val="33"/>
          <w:szCs w:val="33"/>
          <w:highlight w:val="none"/>
          <w:shd w:val="clear" w:color="auto" w:fill="FFFFFF"/>
          <w:lang w:val="en-US" w:eastAsia="zh-CN"/>
        </w:rPr>
        <w:t>2</w:t>
      </w:r>
      <w:r>
        <w:rPr>
          <w:rFonts w:hint="eastAsia" w:ascii="Times New Roman" w:hAnsi="Times New Roman" w:cs="Times New Roman"/>
          <w:color w:val="auto"/>
          <w:kern w:val="0"/>
          <w:sz w:val="33"/>
          <w:szCs w:val="33"/>
          <w:highlight w:val="none"/>
          <w:shd w:val="clear" w:color="auto" w:fill="FFFFFF"/>
          <w:lang w:val="zh-CN"/>
        </w:rPr>
        <w:t>）一般公共预算当年拨款结构情况</w:t>
      </w:r>
    </w:p>
    <w:p w14:paraId="678CC33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auto"/>
          <w:kern w:val="0"/>
          <w:sz w:val="33"/>
          <w:szCs w:val="33"/>
          <w:highlight w:val="none"/>
          <w:shd w:val="clear" w:color="auto" w:fill="FFFFFF"/>
          <w:lang w:val="zh-CN"/>
        </w:rPr>
      </w:pPr>
      <w:r>
        <w:rPr>
          <w:rFonts w:hint="eastAsia" w:ascii="Times New Roman" w:hAnsi="Times New Roman" w:cs="Times New Roman"/>
          <w:color w:val="auto"/>
          <w:kern w:val="0"/>
          <w:sz w:val="33"/>
          <w:szCs w:val="33"/>
          <w:highlight w:val="none"/>
          <w:shd w:val="clear" w:color="auto" w:fill="FFFFFF"/>
          <w:lang w:val="zh-CN"/>
        </w:rPr>
        <w:t>市疾控中心2024年一般公共预算拨款收入当年预算2060.81万元，其中社会保障和就业支出196.29万元，占9.53%；卫生健康支出1713.05万元，占83.12%；住房保障支出151.48万元，占7.35%。</w:t>
      </w:r>
    </w:p>
    <w:p w14:paraId="453344E5">
      <w:pPr>
        <w:keepNext w:val="0"/>
        <w:keepLines w:val="0"/>
        <w:pageBreakBefore w:val="0"/>
        <w:widowControl/>
        <w:kinsoku/>
        <w:wordWrap/>
        <w:overflowPunct/>
        <w:topLinePunct w:val="0"/>
        <w:autoSpaceDE/>
        <w:autoSpaceDN/>
        <w:bidi w:val="0"/>
        <w:adjustRightInd/>
        <w:snapToGrid/>
        <w:spacing w:line="590" w:lineRule="exact"/>
        <w:ind w:right="0" w:rightChars="0" w:firstLine="663"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（二）部门预算项目绩效分析。</w:t>
      </w:r>
    </w:p>
    <w:p w14:paraId="15543BA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zh-CN" w:eastAsia="zh-CN"/>
        </w:rPr>
      </w:pPr>
      <w:r>
        <w:rPr>
          <w:rFonts w:hint="default" w:ascii="Times New Roman" w:hAnsi="Times New Roman" w:cs="Times New Roman"/>
          <w:color w:val="000000"/>
          <w:kern w:val="0"/>
          <w:sz w:val="33"/>
          <w:szCs w:val="33"/>
          <w:highlight w:val="none"/>
          <w:shd w:val="clear" w:color="auto" w:fill="FFFFFF"/>
          <w:lang w:val="en-US" w:eastAsia="zh-CN"/>
        </w:rPr>
        <w:t>特定目标类项目绩效分析。</w:t>
      </w:r>
      <w:r>
        <w:rPr>
          <w:rFonts w:hint="default" w:ascii="Times New Roman" w:hAnsi="Times New Roman" w:cs="Times New Roman"/>
          <w:color w:val="000000"/>
          <w:kern w:val="0"/>
          <w:sz w:val="33"/>
          <w:szCs w:val="33"/>
          <w:highlight w:val="none"/>
          <w:shd w:val="clear" w:color="auto" w:fill="FFFFFF"/>
          <w:lang w:val="zh-CN" w:eastAsia="zh-CN"/>
        </w:rPr>
        <w:t>该类项目总数</w:t>
      </w:r>
      <w:r>
        <w:rPr>
          <w:rFonts w:hint="eastAsia" w:cs="Times New Roman"/>
          <w:color w:val="000000"/>
          <w:kern w:val="0"/>
          <w:sz w:val="33"/>
          <w:szCs w:val="33"/>
          <w:highlight w:val="none"/>
          <w:shd w:val="clear" w:color="auto" w:fill="FFFFFF"/>
          <w:lang w:val="en-US" w:eastAsia="zh-CN"/>
        </w:rPr>
        <w:t>12</w:t>
      </w:r>
      <w:r>
        <w:rPr>
          <w:rFonts w:hint="default" w:ascii="Times New Roman" w:hAnsi="Times New Roman" w:cs="Times New Roman"/>
          <w:color w:val="000000"/>
          <w:kern w:val="0"/>
          <w:sz w:val="33"/>
          <w:szCs w:val="33"/>
          <w:highlight w:val="none"/>
          <w:shd w:val="clear" w:color="auto" w:fill="FFFFFF"/>
          <w:lang w:val="zh-CN" w:eastAsia="zh-CN"/>
        </w:rPr>
        <w:t>个，涉及预算总金额</w:t>
      </w:r>
      <w:r>
        <w:rPr>
          <w:rFonts w:hint="default" w:ascii="Times New Roman" w:hAnsi="Times New Roman" w:cs="Times New Roman"/>
          <w:color w:val="000000"/>
          <w:kern w:val="0"/>
          <w:sz w:val="33"/>
          <w:szCs w:val="33"/>
          <w:highlight w:val="none"/>
          <w:shd w:val="clear" w:color="auto" w:fill="FFFFFF"/>
          <w:lang w:val="en-US" w:eastAsia="zh-CN"/>
        </w:rPr>
        <w:t xml:space="preserve"> 163.69</w:t>
      </w:r>
      <w:r>
        <w:rPr>
          <w:rFonts w:hint="default" w:ascii="Times New Roman" w:hAnsi="Times New Roman" w:cs="Times New Roman"/>
          <w:color w:val="000000"/>
          <w:kern w:val="0"/>
          <w:sz w:val="33"/>
          <w:szCs w:val="33"/>
          <w:highlight w:val="none"/>
          <w:shd w:val="clear" w:color="auto" w:fill="FFFFFF"/>
          <w:lang w:val="zh-CN" w:eastAsia="zh-CN"/>
        </w:rPr>
        <w:t>万元，</w:t>
      </w:r>
      <w:r>
        <w:rPr>
          <w:rFonts w:hint="default" w:ascii="Times New Roman" w:hAnsi="Times New Roman" w:cs="Times New Roman"/>
          <w:color w:val="000000"/>
          <w:kern w:val="0"/>
          <w:sz w:val="33"/>
          <w:szCs w:val="33"/>
          <w:highlight w:val="none"/>
          <w:shd w:val="clear" w:color="auto" w:fill="FFFFFF"/>
          <w:lang w:val="zh-CN"/>
        </w:rPr>
        <w:t>1</w:t>
      </w:r>
      <w:r>
        <w:rPr>
          <w:rFonts w:hint="eastAsia" w:ascii="Times New Roman" w:hAnsi="Times New Roman" w:cs="Times New Roman"/>
          <w:color w:val="000000"/>
          <w:kern w:val="0"/>
          <w:sz w:val="33"/>
          <w:szCs w:val="33"/>
          <w:highlight w:val="none"/>
          <w:shd w:val="clear" w:color="auto" w:fill="FFFFFF"/>
          <w:lang w:val="zh-CN" w:eastAsia="zh-CN"/>
        </w:rPr>
        <w:t>—</w:t>
      </w:r>
      <w:r>
        <w:rPr>
          <w:rFonts w:hint="default" w:ascii="Times New Roman" w:hAnsi="Times New Roman" w:cs="Times New Roman"/>
          <w:color w:val="000000"/>
          <w:kern w:val="0"/>
          <w:sz w:val="33"/>
          <w:szCs w:val="33"/>
          <w:highlight w:val="none"/>
          <w:shd w:val="clear" w:color="auto" w:fill="FFFFFF"/>
          <w:lang w:val="zh-CN"/>
        </w:rPr>
        <w:t>1</w:t>
      </w:r>
      <w:r>
        <w:rPr>
          <w:rFonts w:hint="default" w:ascii="Times New Roman" w:hAnsi="Times New Roman" w:cs="Times New Roman"/>
          <w:color w:val="000000"/>
          <w:kern w:val="0"/>
          <w:sz w:val="33"/>
          <w:szCs w:val="33"/>
          <w:highlight w:val="none"/>
          <w:shd w:val="clear" w:color="auto" w:fill="FFFFFF"/>
          <w:lang w:val="en-US" w:eastAsia="zh-CN"/>
        </w:rPr>
        <w:t>2</w:t>
      </w:r>
      <w:r>
        <w:rPr>
          <w:rFonts w:hint="default" w:ascii="Times New Roman" w:hAnsi="Times New Roman" w:cs="Times New Roman"/>
          <w:color w:val="000000"/>
          <w:kern w:val="0"/>
          <w:sz w:val="33"/>
          <w:szCs w:val="33"/>
          <w:highlight w:val="none"/>
          <w:shd w:val="clear" w:color="auto" w:fill="FFFFFF"/>
          <w:lang w:val="zh-CN"/>
        </w:rPr>
        <w:t>月预算执行总体进度为</w:t>
      </w:r>
      <w:r>
        <w:rPr>
          <w:rFonts w:hint="default" w:ascii="Times New Roman" w:hAnsi="Times New Roman" w:cs="Times New Roman"/>
          <w:color w:val="000000"/>
          <w:kern w:val="0"/>
          <w:sz w:val="33"/>
          <w:szCs w:val="33"/>
          <w:highlight w:val="none"/>
          <w:shd w:val="clear" w:color="auto" w:fill="FFFFFF"/>
          <w:lang w:val="en-US" w:eastAsia="zh-CN"/>
        </w:rPr>
        <w:t>89.94%</w:t>
      </w:r>
      <w:r>
        <w:rPr>
          <w:rFonts w:hint="default" w:ascii="Times New Roman" w:hAnsi="Times New Roman" w:cs="Times New Roman"/>
          <w:color w:val="000000"/>
          <w:kern w:val="0"/>
          <w:sz w:val="33"/>
          <w:szCs w:val="33"/>
          <w:highlight w:val="none"/>
          <w:shd w:val="clear" w:color="auto" w:fill="FFFFFF"/>
          <w:lang w:val="zh-CN"/>
        </w:rPr>
        <w:t>，其中：</w:t>
      </w:r>
      <w:r>
        <w:rPr>
          <w:rFonts w:hint="default" w:ascii="Times New Roman" w:hAnsi="Times New Roman" w:cs="Times New Roman"/>
          <w:color w:val="000000"/>
          <w:kern w:val="0"/>
          <w:sz w:val="33"/>
          <w:szCs w:val="33"/>
          <w:highlight w:val="none"/>
          <w:shd w:val="clear" w:color="auto" w:fill="FFFFFF"/>
          <w:lang w:val="zh-CN" w:eastAsia="zh-CN"/>
        </w:rPr>
        <w:t>预算结余率大于</w:t>
      </w:r>
      <w:r>
        <w:rPr>
          <w:rFonts w:hint="default" w:ascii="Times New Roman" w:hAnsi="Times New Roman" w:cs="Times New Roman"/>
          <w:color w:val="000000"/>
          <w:kern w:val="0"/>
          <w:sz w:val="33"/>
          <w:szCs w:val="33"/>
          <w:highlight w:val="none"/>
          <w:shd w:val="clear" w:color="auto" w:fill="FFFFFF"/>
          <w:lang w:val="en-US" w:eastAsia="zh-CN"/>
        </w:rPr>
        <w:t>10%</w:t>
      </w:r>
      <w:r>
        <w:rPr>
          <w:rFonts w:hint="default" w:ascii="Times New Roman" w:hAnsi="Times New Roman" w:cs="Times New Roman"/>
          <w:color w:val="000000"/>
          <w:kern w:val="0"/>
          <w:sz w:val="33"/>
          <w:szCs w:val="33"/>
          <w:highlight w:val="none"/>
          <w:shd w:val="clear" w:color="auto" w:fill="FFFFFF"/>
          <w:lang w:val="zh-CN" w:eastAsia="zh-CN"/>
        </w:rPr>
        <w:t>的项目共计</w:t>
      </w:r>
      <w:r>
        <w:rPr>
          <w:rFonts w:hint="eastAsia" w:cs="Times New Roman"/>
          <w:color w:val="000000"/>
          <w:kern w:val="0"/>
          <w:sz w:val="33"/>
          <w:szCs w:val="33"/>
          <w:highlight w:val="none"/>
          <w:shd w:val="clear" w:color="auto" w:fill="FFFFFF"/>
          <w:lang w:val="en-US" w:eastAsia="zh-CN"/>
        </w:rPr>
        <w:t>2</w:t>
      </w:r>
      <w:r>
        <w:rPr>
          <w:rFonts w:hint="default" w:ascii="Times New Roman" w:hAnsi="Times New Roman" w:cs="Times New Roman"/>
          <w:color w:val="000000"/>
          <w:kern w:val="0"/>
          <w:sz w:val="33"/>
          <w:szCs w:val="33"/>
          <w:highlight w:val="none"/>
          <w:shd w:val="clear" w:color="auto" w:fill="FFFFFF"/>
          <w:lang w:val="zh-CN" w:eastAsia="zh-CN"/>
        </w:rPr>
        <w:t>个。</w:t>
      </w:r>
    </w:p>
    <w:p w14:paraId="3E54A29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14:paraId="689B1AD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en-US"/>
        </w:rPr>
      </w:pPr>
      <w:r>
        <w:rPr>
          <w:rFonts w:hint="default" w:ascii="Times New Roman" w:hAnsi="Times New Roman" w:eastAsia="楷体_GB2312" w:cs="Times New Roman"/>
          <w:b/>
          <w:bCs/>
          <w:color w:val="000000"/>
          <w:kern w:val="0"/>
          <w:sz w:val="33"/>
          <w:szCs w:val="33"/>
          <w:highlight w:val="none"/>
          <w:shd w:val="clear" w:color="auto" w:fill="FFFFFF"/>
          <w:lang w:val="zh-CN"/>
        </w:rPr>
        <w:t>（一）评价结论。</w:t>
      </w:r>
      <w:r>
        <w:rPr>
          <w:rFonts w:hint="eastAsia" w:ascii="Times New Roman" w:hAnsi="Times New Roman" w:cs="仿宋_GB2312"/>
          <w:b w:val="0"/>
          <w:bCs w:val="0"/>
          <w:kern w:val="0"/>
          <w:position w:val="0"/>
          <w:sz w:val="33"/>
          <w:szCs w:val="33"/>
          <w:highlight w:val="none"/>
          <w:lang w:val="en-US" w:eastAsia="zh-CN" w:bidi="ar-SA"/>
        </w:rPr>
        <w:t>202</w:t>
      </w:r>
      <w:r>
        <w:rPr>
          <w:rFonts w:hint="eastAsia" w:cs="仿宋_GB2312"/>
          <w:b w:val="0"/>
          <w:bCs w:val="0"/>
          <w:kern w:val="0"/>
          <w:position w:val="0"/>
          <w:sz w:val="33"/>
          <w:szCs w:val="33"/>
          <w:highlight w:val="none"/>
          <w:lang w:val="en-US" w:eastAsia="zh-CN" w:bidi="ar-SA"/>
        </w:rPr>
        <w:t>4</w:t>
      </w:r>
      <w:r>
        <w:rPr>
          <w:rFonts w:hint="eastAsia" w:ascii="Times New Roman" w:hAnsi="Times New Roman" w:cs="仿宋_GB2312"/>
          <w:b w:val="0"/>
          <w:bCs w:val="0"/>
          <w:kern w:val="0"/>
          <w:position w:val="0"/>
          <w:sz w:val="33"/>
          <w:szCs w:val="33"/>
          <w:highlight w:val="none"/>
          <w:lang w:val="en-US" w:eastAsia="zh-CN" w:bidi="ar-SA"/>
        </w:rPr>
        <w:t>年，结合中心实际情况，全年基本支出保证了单位的正常运转，项目支出保障了重点工作的开展，按照 202</w:t>
      </w:r>
      <w:r>
        <w:rPr>
          <w:rFonts w:hint="eastAsia" w:cs="仿宋_GB2312"/>
          <w:b w:val="0"/>
          <w:bCs w:val="0"/>
          <w:kern w:val="0"/>
          <w:position w:val="0"/>
          <w:sz w:val="33"/>
          <w:szCs w:val="33"/>
          <w:highlight w:val="none"/>
          <w:lang w:val="en-US" w:eastAsia="zh-CN" w:bidi="ar-SA"/>
        </w:rPr>
        <w:t>4</w:t>
      </w:r>
      <w:r>
        <w:rPr>
          <w:rFonts w:hint="eastAsia" w:ascii="Times New Roman" w:hAnsi="Times New Roman" w:cs="仿宋_GB2312"/>
          <w:b w:val="0"/>
          <w:bCs w:val="0"/>
          <w:kern w:val="0"/>
          <w:position w:val="0"/>
          <w:sz w:val="33"/>
          <w:szCs w:val="33"/>
          <w:highlight w:val="none"/>
          <w:lang w:val="en-US" w:eastAsia="zh-CN" w:bidi="ar-SA"/>
        </w:rPr>
        <w:t>年度市级部门整体支出绩效评价指标体系对我单位预算编制、预算执行、完成结果、信息公开、整改反馈等方面进行了自评，综合得分</w:t>
      </w:r>
      <w:r>
        <w:rPr>
          <w:rFonts w:hint="eastAsia" w:cs="仿宋_GB2312"/>
          <w:b w:val="0"/>
          <w:bCs w:val="0"/>
          <w:kern w:val="0"/>
          <w:position w:val="0"/>
          <w:sz w:val="33"/>
          <w:szCs w:val="33"/>
          <w:highlight w:val="none"/>
          <w:lang w:val="en-US" w:eastAsia="zh-CN" w:bidi="ar-SA"/>
        </w:rPr>
        <w:t>77.88</w:t>
      </w:r>
      <w:r>
        <w:rPr>
          <w:rFonts w:hint="eastAsia" w:ascii="Times New Roman" w:hAnsi="Times New Roman" w:cs="仿宋_GB2312"/>
          <w:b w:val="0"/>
          <w:bCs w:val="0"/>
          <w:kern w:val="0"/>
          <w:position w:val="0"/>
          <w:sz w:val="33"/>
          <w:szCs w:val="33"/>
          <w:highlight w:val="none"/>
          <w:lang w:val="en-US" w:eastAsia="zh-CN" w:bidi="ar-SA"/>
        </w:rPr>
        <w:t>分。主要表现在：一是中心按照财政及主管部门预算编制要求，按时完成预算基础工作及项目报送工作，行政运行经费、项目经费的执行基本达到了执行进度；二是严格控制“三公”经费支出，本年“三公”经费合计</w:t>
      </w:r>
      <w:r>
        <w:rPr>
          <w:rFonts w:hint="eastAsia" w:cs="仿宋_GB2312"/>
          <w:b w:val="0"/>
          <w:bCs w:val="0"/>
          <w:kern w:val="0"/>
          <w:position w:val="0"/>
          <w:sz w:val="33"/>
          <w:szCs w:val="33"/>
          <w:highlight w:val="none"/>
          <w:lang w:val="en-US" w:eastAsia="zh-CN" w:bidi="ar-SA"/>
        </w:rPr>
        <w:t>27.95</w:t>
      </w:r>
      <w:r>
        <w:rPr>
          <w:rFonts w:hint="eastAsia" w:ascii="Times New Roman" w:hAnsi="Times New Roman" w:cs="仿宋_GB2312"/>
          <w:b w:val="0"/>
          <w:bCs w:val="0"/>
          <w:kern w:val="0"/>
          <w:position w:val="0"/>
          <w:sz w:val="33"/>
          <w:szCs w:val="33"/>
          <w:highlight w:val="none"/>
          <w:lang w:val="en-US" w:eastAsia="zh-CN" w:bidi="ar-SA"/>
        </w:rPr>
        <w:t>万元，较上年增加</w:t>
      </w:r>
      <w:r>
        <w:rPr>
          <w:rFonts w:hint="eastAsia" w:cs="仿宋_GB2312"/>
          <w:b w:val="0"/>
          <w:bCs w:val="0"/>
          <w:kern w:val="0"/>
          <w:position w:val="0"/>
          <w:sz w:val="33"/>
          <w:szCs w:val="33"/>
          <w:highlight w:val="none"/>
          <w:lang w:val="en-US" w:eastAsia="zh-CN" w:bidi="ar-SA"/>
        </w:rPr>
        <w:t>1.48</w:t>
      </w:r>
      <w:r>
        <w:rPr>
          <w:rFonts w:hint="eastAsia" w:ascii="Times New Roman" w:hAnsi="Times New Roman" w:cs="仿宋_GB2312"/>
          <w:b w:val="0"/>
          <w:bCs w:val="0"/>
          <w:kern w:val="0"/>
          <w:position w:val="0"/>
          <w:sz w:val="33"/>
          <w:szCs w:val="33"/>
          <w:highlight w:val="none"/>
          <w:lang w:val="en-US" w:eastAsia="zh-CN" w:bidi="ar-SA"/>
        </w:rPr>
        <w:t>万元，原因为2023年中心搬迁至新办公地点，</w:t>
      </w:r>
      <w:r>
        <w:rPr>
          <w:rFonts w:hint="eastAsia" w:cs="仿宋_GB2312"/>
          <w:b w:val="0"/>
          <w:bCs w:val="0"/>
          <w:kern w:val="0"/>
          <w:position w:val="0"/>
          <w:sz w:val="33"/>
          <w:szCs w:val="33"/>
          <w:highlight w:val="none"/>
          <w:lang w:val="en-US" w:eastAsia="zh-CN" w:bidi="ar-SA"/>
        </w:rPr>
        <w:t>新办公地点在通港大道66号，距离较远，</w:t>
      </w:r>
      <w:r>
        <w:rPr>
          <w:rFonts w:hint="eastAsia" w:ascii="Times New Roman" w:hAnsi="Times New Roman" w:cs="仿宋_GB2312"/>
          <w:b w:val="0"/>
          <w:bCs w:val="0"/>
          <w:kern w:val="0"/>
          <w:position w:val="0"/>
          <w:sz w:val="33"/>
          <w:szCs w:val="33"/>
          <w:highlight w:val="none"/>
          <w:lang w:val="en-US" w:eastAsia="zh-CN" w:bidi="ar-SA"/>
        </w:rPr>
        <w:t>车辆用油增加；三是各项目资金均达到了专款专用，无截留、挪用等现象，确保了财政资金发挥最大效益。</w:t>
      </w:r>
    </w:p>
    <w:p w14:paraId="78BA41A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（二）存在问题。</w:t>
      </w:r>
    </w:p>
    <w:p w14:paraId="6C3645F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26" w:firstLineChars="200"/>
        <w:contextualSpacing/>
        <w:jc w:val="both"/>
        <w:textAlignment w:val="auto"/>
        <w:outlineLvl w:val="9"/>
        <w:rPr>
          <w:rFonts w:hint="eastAsia" w:ascii="Times New Roman" w:hAnsi="Times New Roman" w:eastAsia="宋体" w:cs="仿宋_GB2312"/>
          <w:b w:val="0"/>
          <w:bCs w:val="0"/>
          <w:kern w:val="0"/>
          <w:position w:val="0"/>
          <w:sz w:val="33"/>
          <w:szCs w:val="33"/>
          <w:highlight w:val="none"/>
          <w:lang w:val="en-US" w:eastAsia="zh-CN" w:bidi="ar-SA"/>
        </w:rPr>
      </w:pPr>
      <w:r>
        <w:rPr>
          <w:rFonts w:hint="eastAsia" w:ascii="Times New Roman" w:hAnsi="Times New Roman" w:eastAsia="仿宋_GB2312" w:cs="仿宋_GB2312"/>
          <w:b w:val="0"/>
          <w:bCs w:val="0"/>
          <w:w w:val="95"/>
          <w:kern w:val="0"/>
          <w:position w:val="0"/>
          <w:sz w:val="33"/>
          <w:szCs w:val="33"/>
          <w:highlight w:val="none"/>
          <w:lang w:val="en-US" w:eastAsia="zh-CN" w:bidi="ar-SA"/>
        </w:rPr>
        <w:t>1.</w:t>
      </w:r>
      <w:r>
        <w:rPr>
          <w:rFonts w:hint="eastAsia" w:ascii="Times New Roman" w:hAnsi="Times New Roman" w:eastAsia="宋体" w:cs="仿宋_GB2312"/>
          <w:b w:val="0"/>
          <w:bCs w:val="0"/>
          <w:kern w:val="0"/>
          <w:position w:val="0"/>
          <w:sz w:val="33"/>
          <w:szCs w:val="33"/>
          <w:highlight w:val="none"/>
          <w:lang w:val="en-US" w:eastAsia="zh-CN" w:bidi="ar-SA"/>
        </w:rPr>
        <w:t>预算编制工作的有待细化、预算的合理性和执行力度还需加强；</w:t>
      </w:r>
    </w:p>
    <w:p w14:paraId="4CC0E25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26" w:firstLineChars="200"/>
        <w:contextualSpacing/>
        <w:jc w:val="both"/>
        <w:textAlignment w:val="auto"/>
        <w:outlineLvl w:val="9"/>
        <w:rPr>
          <w:rFonts w:hint="eastAsia" w:ascii="Times New Roman" w:hAnsi="Times New Roman" w:eastAsia="宋体" w:cs="仿宋_GB2312"/>
          <w:b w:val="0"/>
          <w:bCs w:val="0"/>
          <w:kern w:val="0"/>
          <w:position w:val="0"/>
          <w:sz w:val="33"/>
          <w:szCs w:val="33"/>
          <w:highlight w:val="none"/>
          <w:lang w:val="en-US" w:eastAsia="zh-CN" w:bidi="ar-SA"/>
        </w:rPr>
      </w:pPr>
      <w:r>
        <w:rPr>
          <w:rFonts w:hint="eastAsia" w:ascii="Times New Roman" w:hAnsi="Times New Roman" w:eastAsia="仿宋_GB2312" w:cs="仿宋_GB2312"/>
          <w:b w:val="0"/>
          <w:bCs w:val="0"/>
          <w:w w:val="95"/>
          <w:kern w:val="0"/>
          <w:position w:val="0"/>
          <w:sz w:val="33"/>
          <w:szCs w:val="33"/>
          <w:highlight w:val="none"/>
          <w:lang w:val="en-US" w:eastAsia="zh-CN" w:bidi="ar-SA"/>
        </w:rPr>
        <w:t>2.</w:t>
      </w:r>
      <w:r>
        <w:rPr>
          <w:rFonts w:hint="eastAsia" w:ascii="Times New Roman" w:hAnsi="Times New Roman" w:eastAsia="宋体" w:cs="仿宋_GB2312"/>
          <w:b w:val="0"/>
          <w:bCs w:val="0"/>
          <w:kern w:val="0"/>
          <w:position w:val="0"/>
          <w:sz w:val="33"/>
          <w:szCs w:val="33"/>
          <w:highlight w:val="none"/>
          <w:lang w:val="en-US" w:eastAsia="zh-CN" w:bidi="ar-SA"/>
        </w:rPr>
        <w:t>中心对项目绩效评价工作的认识不够，只注重项目资金的争取和执行工作，轻视了项目资金的后续绩效评价工作；</w:t>
      </w:r>
    </w:p>
    <w:p w14:paraId="6BE1251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26" w:firstLineChars="200"/>
        <w:contextualSpacing/>
        <w:jc w:val="both"/>
        <w:textAlignment w:val="auto"/>
        <w:outlineLvl w:val="9"/>
        <w:rPr>
          <w:rFonts w:hint="eastAsia" w:ascii="Times New Roman" w:hAnsi="Times New Roman" w:eastAsia="宋体" w:cs="仿宋_GB2312"/>
          <w:b w:val="0"/>
          <w:bCs w:val="0"/>
          <w:kern w:val="0"/>
          <w:position w:val="0"/>
          <w:sz w:val="33"/>
          <w:szCs w:val="33"/>
          <w:highlight w:val="none"/>
          <w:lang w:val="en-US" w:eastAsia="zh-CN" w:bidi="ar-SA"/>
        </w:rPr>
      </w:pPr>
      <w:r>
        <w:rPr>
          <w:rFonts w:hint="eastAsia" w:ascii="Times New Roman" w:hAnsi="Times New Roman" w:eastAsia="仿宋_GB2312" w:cs="仿宋_GB2312"/>
          <w:b w:val="0"/>
          <w:bCs w:val="0"/>
          <w:w w:val="95"/>
          <w:kern w:val="0"/>
          <w:position w:val="0"/>
          <w:sz w:val="33"/>
          <w:szCs w:val="33"/>
          <w:highlight w:val="none"/>
          <w:lang w:val="en-US" w:eastAsia="zh-CN" w:bidi="ar-SA"/>
        </w:rPr>
        <w:t>3.</w:t>
      </w:r>
      <w:r>
        <w:rPr>
          <w:rFonts w:hint="eastAsia" w:ascii="Times New Roman" w:hAnsi="Times New Roman" w:eastAsia="宋体" w:cs="仿宋_GB2312"/>
          <w:b w:val="0"/>
          <w:bCs w:val="0"/>
          <w:kern w:val="0"/>
          <w:position w:val="0"/>
          <w:sz w:val="33"/>
          <w:szCs w:val="33"/>
          <w:highlight w:val="none"/>
          <w:lang w:val="en-US" w:eastAsia="zh-CN" w:bidi="ar-SA"/>
        </w:rPr>
        <w:t>绩效评价工作人员缺乏专业知识，且对目标绩效工作业务及流程不熟悉。</w:t>
      </w:r>
    </w:p>
    <w:p w14:paraId="3835C9E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26" w:firstLineChars="200"/>
        <w:contextualSpacing/>
        <w:jc w:val="both"/>
        <w:textAlignment w:val="auto"/>
        <w:outlineLvl w:val="9"/>
        <w:rPr>
          <w:rFonts w:hint="eastAsia" w:ascii="Times New Roman" w:hAnsi="Times New Roman" w:eastAsia="宋体" w:cs="仿宋_GB2312"/>
          <w:b w:val="0"/>
          <w:bCs w:val="0"/>
          <w:kern w:val="0"/>
          <w:position w:val="0"/>
          <w:sz w:val="33"/>
          <w:szCs w:val="33"/>
          <w:highlight w:val="none"/>
          <w:lang w:val="en-US" w:eastAsia="zh-CN" w:bidi="ar-SA"/>
        </w:rPr>
      </w:pPr>
      <w:r>
        <w:rPr>
          <w:rFonts w:hint="eastAsia" w:ascii="Times New Roman" w:hAnsi="Times New Roman" w:eastAsia="仿宋_GB2312" w:cs="仿宋_GB2312"/>
          <w:b w:val="0"/>
          <w:bCs w:val="0"/>
          <w:w w:val="95"/>
          <w:kern w:val="0"/>
          <w:position w:val="0"/>
          <w:sz w:val="33"/>
          <w:szCs w:val="33"/>
          <w:highlight w:val="none"/>
          <w:lang w:val="en-US" w:eastAsia="zh-CN" w:bidi="ar-SA"/>
        </w:rPr>
        <w:t>4.</w:t>
      </w:r>
      <w:r>
        <w:rPr>
          <w:rFonts w:hint="eastAsia" w:ascii="Times New Roman" w:hAnsi="Times New Roman" w:eastAsia="宋体" w:cs="仿宋_GB2312"/>
          <w:b w:val="0"/>
          <w:bCs w:val="0"/>
          <w:kern w:val="0"/>
          <w:position w:val="0"/>
          <w:sz w:val="33"/>
          <w:szCs w:val="33"/>
          <w:highlight w:val="none"/>
          <w:lang w:val="en-US" w:eastAsia="zh-CN" w:bidi="ar-SA"/>
        </w:rPr>
        <w:t>绩效目标评价工作制度体系不健全，尚未建立规范的绩效管理工作流程和操作细节;</w:t>
      </w:r>
    </w:p>
    <w:p w14:paraId="5EBAC37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eastAsia" w:ascii="Times New Roman" w:hAnsi="Times New Roman" w:eastAsia="仿宋_GB2312" w:cs="仿宋_GB2312"/>
          <w:b w:val="0"/>
          <w:bCs w:val="0"/>
          <w:kern w:val="0"/>
          <w:position w:val="0"/>
          <w:sz w:val="33"/>
          <w:szCs w:val="33"/>
          <w:highlight w:val="none"/>
          <w:lang w:val="en" w:eastAsia="zh-CN" w:bidi="ar-SA"/>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（三）改进建议。</w:t>
      </w:r>
      <w:bookmarkStart w:id="121" w:name="_Hlk110546638"/>
    </w:p>
    <w:bookmarkEnd w:id="121"/>
    <w:p w14:paraId="1CDB76B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宋体" w:cs="仿宋_GB2312"/>
          <w:b w:val="0"/>
          <w:bCs w:val="0"/>
          <w:kern w:val="0"/>
          <w:position w:val="0"/>
          <w:sz w:val="33"/>
          <w:szCs w:val="33"/>
          <w:highlight w:val="none"/>
          <w:lang w:val="zh-CN" w:eastAsia="zh-CN" w:bidi="ar-SA"/>
        </w:rPr>
      </w:pPr>
      <w:r>
        <w:rPr>
          <w:rFonts w:hint="default" w:ascii="Times New Roman" w:hAnsi="Times New Roman" w:eastAsia="仿宋_GB2312" w:cs="仿宋_GB2312"/>
          <w:b w:val="0"/>
          <w:bCs w:val="0"/>
          <w:kern w:val="0"/>
          <w:position w:val="0"/>
          <w:sz w:val="33"/>
          <w:szCs w:val="33"/>
          <w:highlight w:val="none"/>
          <w:lang w:val="zh-CN" w:eastAsia="zh-CN" w:bidi="ar-SA"/>
        </w:rPr>
        <w:t>1.</w:t>
      </w:r>
      <w:r>
        <w:rPr>
          <w:rFonts w:hint="default" w:ascii="Times New Roman" w:hAnsi="Times New Roman" w:eastAsia="宋体" w:cs="仿宋_GB2312"/>
          <w:b w:val="0"/>
          <w:bCs w:val="0"/>
          <w:kern w:val="0"/>
          <w:position w:val="0"/>
          <w:sz w:val="33"/>
          <w:szCs w:val="33"/>
          <w:highlight w:val="none"/>
          <w:lang w:val="zh-CN" w:eastAsia="zh-CN" w:bidi="ar-SA"/>
        </w:rPr>
        <w:t>加强预算编制管理，科学规划预算编制工作，进一步提高预算编制的科学性、合理性、严谨性和可控性；</w:t>
      </w:r>
    </w:p>
    <w:p w14:paraId="393EFC1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宋体" w:cs="仿宋_GB2312"/>
          <w:b w:val="0"/>
          <w:bCs w:val="0"/>
          <w:kern w:val="0"/>
          <w:position w:val="0"/>
          <w:sz w:val="33"/>
          <w:szCs w:val="33"/>
          <w:highlight w:val="none"/>
          <w:lang w:val="zh-CN" w:eastAsia="zh-CN" w:bidi="ar-SA"/>
        </w:rPr>
      </w:pPr>
      <w:r>
        <w:rPr>
          <w:rFonts w:hint="default" w:ascii="Times New Roman" w:hAnsi="Times New Roman" w:eastAsia="仿宋_GB2312" w:cs="仿宋_GB2312"/>
          <w:b w:val="0"/>
          <w:bCs w:val="0"/>
          <w:kern w:val="0"/>
          <w:position w:val="0"/>
          <w:sz w:val="33"/>
          <w:szCs w:val="33"/>
          <w:highlight w:val="none"/>
          <w:lang w:val="zh-CN" w:eastAsia="zh-CN" w:bidi="ar-SA"/>
        </w:rPr>
        <w:t>2.</w:t>
      </w:r>
      <w:r>
        <w:rPr>
          <w:rFonts w:hint="default" w:ascii="Times New Roman" w:hAnsi="Times New Roman" w:eastAsia="宋体" w:cs="仿宋_GB2312"/>
          <w:b w:val="0"/>
          <w:bCs w:val="0"/>
          <w:kern w:val="0"/>
          <w:position w:val="0"/>
          <w:sz w:val="33"/>
          <w:szCs w:val="33"/>
          <w:highlight w:val="none"/>
          <w:lang w:val="zh-CN" w:eastAsia="zh-CN" w:bidi="ar-SA"/>
        </w:rPr>
        <w:t>加强人员培训，积极参加绩效管理部门的专业培训，树立绩效评价意识，提高工作效率。</w:t>
      </w:r>
    </w:p>
    <w:p w14:paraId="50944B4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宋体" w:cs="仿宋_GB2312"/>
          <w:b w:val="0"/>
          <w:bCs w:val="0"/>
          <w:kern w:val="0"/>
          <w:position w:val="0"/>
          <w:sz w:val="33"/>
          <w:szCs w:val="33"/>
          <w:highlight w:val="none"/>
          <w:lang w:val="en-US" w:eastAsia="zh-CN" w:bidi="ar-SA"/>
        </w:rPr>
      </w:pPr>
      <w:r>
        <w:rPr>
          <w:rFonts w:hint="default" w:ascii="Times New Roman" w:hAnsi="Times New Roman" w:eastAsia="仿宋_GB2312" w:cs="仿宋_GB2312"/>
          <w:b w:val="0"/>
          <w:bCs w:val="0"/>
          <w:kern w:val="0"/>
          <w:position w:val="0"/>
          <w:sz w:val="33"/>
          <w:szCs w:val="33"/>
          <w:highlight w:val="none"/>
          <w:lang w:val="zh-CN" w:eastAsia="zh-CN" w:bidi="ar-SA"/>
        </w:rPr>
        <w:t>3.</w:t>
      </w:r>
      <w:r>
        <w:rPr>
          <w:rFonts w:hint="default" w:ascii="Times New Roman" w:hAnsi="Times New Roman" w:eastAsia="宋体" w:cs="仿宋_GB2312"/>
          <w:b w:val="0"/>
          <w:bCs w:val="0"/>
          <w:kern w:val="0"/>
          <w:position w:val="0"/>
          <w:sz w:val="33"/>
          <w:szCs w:val="33"/>
          <w:highlight w:val="none"/>
          <w:lang w:val="zh-CN" w:eastAsia="zh-CN" w:bidi="ar-SA"/>
        </w:rPr>
        <w:t>加强资金使用管理，在费用报账支付时，严格按照预算规定的费用项目和用途进行资金使用审核、列报支付、财务核算，杜绝超支现象的发生；同时加强项目资金管理,开展事前事中事后的跟踪和支出进度的控制，开展项目绩效评价，科学、合理安排支出项目。积极开展年度中期评估，对下半年度资金做好计划，以提高资金使用效益。</w:t>
      </w:r>
    </w:p>
    <w:p w14:paraId="25C7D11A">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2D39AE1B">
      <w:pPr>
        <w:spacing w:line="600" w:lineRule="exact"/>
        <w:ind w:firstLine="640" w:firstLineChars="200"/>
        <w:jc w:val="both"/>
        <w:outlineLvl w:val="1"/>
        <w:rPr>
          <w:rFonts w:hint="eastAsia" w:ascii="仿宋_GB2312" w:hAnsi="仿宋" w:eastAsia="仿宋_GB2312" w:cs="仿宋"/>
          <w:color w:val="000000"/>
          <w:kern w:val="0"/>
          <w:sz w:val="32"/>
          <w:szCs w:val="32"/>
          <w:lang w:val="en-US" w:eastAsia="zh-CN" w:bidi="ar-SA"/>
        </w:rPr>
      </w:pPr>
    </w:p>
    <w:p w14:paraId="4CC55B54">
      <w:pPr>
        <w:spacing w:line="600" w:lineRule="exact"/>
        <w:ind w:firstLine="640" w:firstLineChars="200"/>
        <w:jc w:val="both"/>
        <w:outlineLvl w:val="1"/>
        <w:rPr>
          <w:rFonts w:hint="eastAsia" w:ascii="仿宋_GB2312" w:hAnsi="仿宋" w:eastAsia="仿宋_GB2312" w:cs="仿宋"/>
          <w:color w:val="000000"/>
          <w:kern w:val="0"/>
          <w:sz w:val="32"/>
          <w:szCs w:val="32"/>
          <w:lang w:val="en-US" w:eastAsia="zh-CN" w:bidi="ar-SA"/>
        </w:rPr>
      </w:pPr>
    </w:p>
    <w:p w14:paraId="36DDB39E">
      <w:pPr>
        <w:spacing w:line="600" w:lineRule="exact"/>
        <w:ind w:firstLine="640" w:firstLineChars="200"/>
        <w:jc w:val="both"/>
        <w:outlineLvl w:val="1"/>
        <w:rPr>
          <w:rFonts w:hint="eastAsia" w:ascii="仿宋_GB2312" w:hAnsi="仿宋" w:eastAsia="仿宋_GB2312" w:cs="仿宋"/>
          <w:color w:val="000000"/>
          <w:kern w:val="0"/>
          <w:sz w:val="32"/>
          <w:szCs w:val="32"/>
          <w:lang w:val="en-US" w:eastAsia="zh-CN" w:bidi="ar-SA"/>
        </w:rPr>
      </w:pPr>
    </w:p>
    <w:p w14:paraId="4FF4000A">
      <w:pPr>
        <w:pStyle w:val="20"/>
        <w:rPr>
          <w:rFonts w:hint="eastAsia" w:ascii="仿宋_GB2312" w:hAnsi="仿宋" w:eastAsia="仿宋_GB2312" w:cs="仿宋"/>
          <w:color w:val="000000"/>
          <w:kern w:val="0"/>
          <w:sz w:val="32"/>
          <w:szCs w:val="32"/>
          <w:lang w:val="en-US" w:eastAsia="zh-CN" w:bidi="ar-SA"/>
        </w:rPr>
      </w:pPr>
    </w:p>
    <w:p w14:paraId="7AB0AED1">
      <w:pPr>
        <w:rPr>
          <w:rFonts w:hint="eastAsia" w:ascii="仿宋_GB2312" w:hAnsi="仿宋" w:eastAsia="仿宋_GB2312" w:cs="仿宋"/>
          <w:color w:val="000000"/>
          <w:kern w:val="0"/>
          <w:sz w:val="32"/>
          <w:szCs w:val="32"/>
          <w:lang w:val="en-US" w:eastAsia="zh-CN" w:bidi="ar-SA"/>
        </w:rPr>
      </w:pPr>
    </w:p>
    <w:p w14:paraId="278837C4">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bookmarkEnd w:id="120"/>
    <w:p w14:paraId="7562937C">
      <w:pPr>
        <w:numPr>
          <w:ilvl w:val="0"/>
          <w:numId w:val="0"/>
        </w:numPr>
        <w:spacing w:line="600" w:lineRule="exact"/>
        <w:jc w:val="center"/>
        <w:outlineLvl w:val="0"/>
        <w:rPr>
          <w:rFonts w:hint="eastAsia" w:ascii="黑体" w:hAnsi="黑体" w:eastAsia="黑体"/>
          <w:color w:val="auto"/>
          <w:sz w:val="44"/>
          <w:szCs w:val="44"/>
          <w:highlight w:val="none"/>
        </w:rPr>
      </w:pPr>
    </w:p>
    <w:p w14:paraId="12C80447">
      <w:pPr>
        <w:numPr>
          <w:ilvl w:val="0"/>
          <w:numId w:val="0"/>
        </w:num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114"/>
      <w:bookmarkEnd w:id="116"/>
      <w:bookmarkEnd w:id="117"/>
      <w:bookmarkEnd w:id="118"/>
      <w:bookmarkEnd w:id="119"/>
      <w:bookmarkStart w:id="122" w:name="_Toc15396619"/>
    </w:p>
    <w:p w14:paraId="77D324CC">
      <w:pPr>
        <w:spacing w:line="600" w:lineRule="exact"/>
        <w:ind w:firstLine="640" w:firstLineChars="200"/>
        <w:jc w:val="both"/>
        <w:outlineLvl w:val="1"/>
        <w:rPr>
          <w:rFonts w:hint="eastAsia" w:ascii="仿宋_GB2312" w:hAnsi="仿宋" w:eastAsia="仿宋_GB2312" w:cs="仿宋"/>
          <w:color w:val="000000"/>
          <w:kern w:val="0"/>
          <w:sz w:val="32"/>
          <w:szCs w:val="32"/>
          <w:lang w:val="en-US" w:eastAsia="zh-CN" w:bidi="ar-SA"/>
        </w:rPr>
      </w:pPr>
      <w:bookmarkStart w:id="123" w:name="_Toc24684"/>
      <w:bookmarkStart w:id="124" w:name="_Toc13732"/>
      <w:bookmarkStart w:id="125" w:name="_Toc3014"/>
      <w:r>
        <w:rPr>
          <w:rFonts w:hint="eastAsia" w:ascii="仿宋_GB2312" w:hAnsi="仿宋" w:eastAsia="仿宋_GB2312" w:cs="仿宋"/>
          <w:color w:val="000000"/>
          <w:kern w:val="0"/>
          <w:sz w:val="32"/>
          <w:szCs w:val="32"/>
          <w:lang w:val="en-US" w:eastAsia="zh-CN" w:bidi="ar-SA"/>
        </w:rPr>
        <w:t>一、收入支出决算总表</w:t>
      </w:r>
      <w:bookmarkEnd w:id="122"/>
      <w:bookmarkEnd w:id="123"/>
      <w:bookmarkEnd w:id="124"/>
      <w:bookmarkEnd w:id="125"/>
    </w:p>
    <w:p w14:paraId="3A391950">
      <w:pPr>
        <w:spacing w:line="600" w:lineRule="exact"/>
        <w:ind w:firstLine="640" w:firstLineChars="200"/>
        <w:jc w:val="both"/>
        <w:outlineLvl w:val="1"/>
        <w:rPr>
          <w:rFonts w:hint="eastAsia" w:ascii="仿宋_GB2312" w:hAnsi="仿宋" w:eastAsia="仿宋_GB2312" w:cs="仿宋"/>
          <w:color w:val="000000"/>
          <w:kern w:val="0"/>
          <w:sz w:val="32"/>
          <w:szCs w:val="32"/>
          <w:lang w:val="en-US" w:eastAsia="zh-CN" w:bidi="ar-SA"/>
        </w:rPr>
      </w:pPr>
      <w:bookmarkStart w:id="126" w:name="_Toc1334"/>
      <w:bookmarkStart w:id="127" w:name="_Toc24591"/>
      <w:bookmarkStart w:id="128" w:name="_Toc15396620"/>
      <w:bookmarkStart w:id="129" w:name="_Toc1444"/>
      <w:r>
        <w:rPr>
          <w:rFonts w:hint="eastAsia" w:ascii="仿宋_GB2312" w:hAnsi="仿宋" w:eastAsia="仿宋_GB2312" w:cs="仿宋"/>
          <w:color w:val="000000"/>
          <w:kern w:val="0"/>
          <w:sz w:val="32"/>
          <w:szCs w:val="32"/>
          <w:lang w:val="en-US" w:eastAsia="zh-CN" w:bidi="ar-SA"/>
        </w:rPr>
        <w:t>二、收入决算表</w:t>
      </w:r>
      <w:bookmarkEnd w:id="126"/>
      <w:bookmarkEnd w:id="127"/>
      <w:bookmarkEnd w:id="128"/>
      <w:bookmarkEnd w:id="129"/>
    </w:p>
    <w:p w14:paraId="4B647E73">
      <w:pPr>
        <w:spacing w:line="600" w:lineRule="exact"/>
        <w:ind w:firstLine="640" w:firstLineChars="200"/>
        <w:jc w:val="both"/>
        <w:outlineLvl w:val="1"/>
        <w:rPr>
          <w:rFonts w:hint="eastAsia" w:ascii="仿宋_GB2312" w:hAnsi="仿宋" w:eastAsia="仿宋_GB2312" w:cs="仿宋"/>
          <w:color w:val="000000"/>
          <w:kern w:val="0"/>
          <w:sz w:val="32"/>
          <w:szCs w:val="32"/>
          <w:lang w:val="en-US" w:eastAsia="zh-CN" w:bidi="ar-SA"/>
        </w:rPr>
      </w:pPr>
      <w:bookmarkStart w:id="130" w:name="_Toc15396621"/>
      <w:bookmarkStart w:id="131" w:name="_Toc24183"/>
      <w:bookmarkStart w:id="132" w:name="_Toc20338"/>
      <w:bookmarkStart w:id="133" w:name="_Toc16650"/>
      <w:r>
        <w:rPr>
          <w:rFonts w:hint="eastAsia" w:ascii="仿宋_GB2312" w:hAnsi="仿宋" w:eastAsia="仿宋_GB2312" w:cs="仿宋"/>
          <w:color w:val="000000"/>
          <w:kern w:val="0"/>
          <w:sz w:val="32"/>
          <w:szCs w:val="32"/>
          <w:lang w:val="en-US" w:eastAsia="zh-CN" w:bidi="ar-SA"/>
        </w:rPr>
        <w:t>三、支出决算表</w:t>
      </w:r>
      <w:bookmarkEnd w:id="130"/>
      <w:bookmarkEnd w:id="131"/>
      <w:bookmarkEnd w:id="132"/>
      <w:bookmarkEnd w:id="133"/>
    </w:p>
    <w:p w14:paraId="54B54D3E">
      <w:pPr>
        <w:spacing w:line="600" w:lineRule="exact"/>
        <w:ind w:firstLine="640" w:firstLineChars="200"/>
        <w:jc w:val="both"/>
        <w:outlineLvl w:val="1"/>
        <w:rPr>
          <w:rFonts w:hint="eastAsia" w:ascii="仿宋_GB2312" w:hAnsi="仿宋" w:eastAsia="仿宋_GB2312" w:cs="仿宋"/>
          <w:color w:val="000000"/>
          <w:kern w:val="0"/>
          <w:sz w:val="32"/>
          <w:szCs w:val="32"/>
          <w:lang w:val="en-US" w:eastAsia="zh-CN" w:bidi="ar-SA"/>
        </w:rPr>
      </w:pPr>
      <w:bookmarkStart w:id="134" w:name="_Toc25379"/>
      <w:bookmarkStart w:id="135" w:name="_Toc15396622"/>
      <w:bookmarkStart w:id="136" w:name="_Toc1735"/>
      <w:bookmarkStart w:id="137" w:name="_Toc2617"/>
      <w:r>
        <w:rPr>
          <w:rFonts w:hint="eastAsia" w:ascii="仿宋_GB2312" w:hAnsi="仿宋" w:eastAsia="仿宋_GB2312" w:cs="仿宋"/>
          <w:color w:val="000000"/>
          <w:kern w:val="0"/>
          <w:sz w:val="32"/>
          <w:szCs w:val="32"/>
          <w:lang w:val="en-US" w:eastAsia="zh-CN" w:bidi="ar-SA"/>
        </w:rPr>
        <w:t>四、财政拨款收入支出决算总表</w:t>
      </w:r>
      <w:bookmarkEnd w:id="134"/>
      <w:bookmarkEnd w:id="135"/>
      <w:bookmarkEnd w:id="136"/>
      <w:bookmarkEnd w:id="137"/>
    </w:p>
    <w:p w14:paraId="5803343B">
      <w:pPr>
        <w:spacing w:line="600" w:lineRule="exact"/>
        <w:ind w:firstLine="640" w:firstLineChars="200"/>
        <w:jc w:val="both"/>
        <w:outlineLvl w:val="1"/>
        <w:rPr>
          <w:rFonts w:hint="eastAsia" w:ascii="仿宋_GB2312" w:hAnsi="仿宋" w:eastAsia="仿宋_GB2312" w:cs="仿宋"/>
          <w:color w:val="000000"/>
          <w:kern w:val="0"/>
          <w:sz w:val="32"/>
          <w:szCs w:val="32"/>
          <w:lang w:val="en-US" w:eastAsia="zh-CN" w:bidi="ar-SA"/>
        </w:rPr>
      </w:pPr>
      <w:bookmarkStart w:id="138" w:name="_Toc15444"/>
      <w:bookmarkStart w:id="139" w:name="_Toc15396623"/>
      <w:bookmarkStart w:id="140" w:name="_Toc29235"/>
      <w:bookmarkStart w:id="141" w:name="_Toc13552"/>
      <w:r>
        <w:rPr>
          <w:rFonts w:hint="eastAsia" w:ascii="仿宋_GB2312" w:hAnsi="仿宋" w:eastAsia="仿宋_GB2312" w:cs="仿宋"/>
          <w:color w:val="000000"/>
          <w:kern w:val="0"/>
          <w:sz w:val="32"/>
          <w:szCs w:val="32"/>
          <w:lang w:val="en-US" w:eastAsia="zh-CN" w:bidi="ar-SA"/>
        </w:rPr>
        <w:t>五、财政拨款支出决算明细表</w:t>
      </w:r>
      <w:bookmarkEnd w:id="138"/>
      <w:bookmarkEnd w:id="139"/>
      <w:bookmarkEnd w:id="140"/>
      <w:bookmarkEnd w:id="141"/>
      <w:bookmarkStart w:id="142" w:name="_Toc15396624"/>
    </w:p>
    <w:p w14:paraId="6373EDBC">
      <w:pPr>
        <w:spacing w:line="600" w:lineRule="exact"/>
        <w:ind w:firstLine="640" w:firstLineChars="200"/>
        <w:jc w:val="both"/>
        <w:outlineLvl w:val="1"/>
        <w:rPr>
          <w:rFonts w:hint="eastAsia" w:ascii="仿宋_GB2312" w:hAnsi="仿宋" w:eastAsia="仿宋_GB2312" w:cs="仿宋"/>
          <w:color w:val="000000"/>
          <w:kern w:val="0"/>
          <w:sz w:val="32"/>
          <w:szCs w:val="32"/>
          <w:lang w:val="en-US" w:eastAsia="zh-CN" w:bidi="ar-SA"/>
        </w:rPr>
      </w:pPr>
      <w:bookmarkStart w:id="143" w:name="_Toc6129"/>
      <w:bookmarkStart w:id="144" w:name="_Toc14024"/>
      <w:bookmarkStart w:id="145" w:name="_Toc29095"/>
      <w:r>
        <w:rPr>
          <w:rFonts w:hint="eastAsia" w:ascii="仿宋_GB2312" w:hAnsi="仿宋" w:eastAsia="仿宋_GB2312" w:cs="仿宋"/>
          <w:color w:val="000000"/>
          <w:kern w:val="0"/>
          <w:sz w:val="32"/>
          <w:szCs w:val="32"/>
          <w:lang w:val="en-US" w:eastAsia="zh-CN" w:bidi="ar-SA"/>
        </w:rPr>
        <w:t>六、一般公共预算财政拨款支出决算表</w:t>
      </w:r>
      <w:bookmarkEnd w:id="142"/>
      <w:bookmarkEnd w:id="143"/>
      <w:bookmarkEnd w:id="144"/>
      <w:bookmarkEnd w:id="145"/>
    </w:p>
    <w:p w14:paraId="44B76EA8">
      <w:pPr>
        <w:spacing w:line="600" w:lineRule="exact"/>
        <w:ind w:firstLine="640" w:firstLineChars="200"/>
        <w:jc w:val="both"/>
        <w:outlineLvl w:val="1"/>
        <w:rPr>
          <w:rFonts w:hint="eastAsia" w:ascii="仿宋_GB2312" w:hAnsi="仿宋" w:eastAsia="仿宋_GB2312" w:cs="仿宋"/>
          <w:color w:val="000000"/>
          <w:kern w:val="0"/>
          <w:sz w:val="32"/>
          <w:szCs w:val="32"/>
          <w:lang w:val="en-US" w:eastAsia="zh-CN" w:bidi="ar-SA"/>
        </w:rPr>
      </w:pPr>
      <w:bookmarkStart w:id="146" w:name="_Toc21998"/>
      <w:bookmarkStart w:id="147" w:name="_Toc11518"/>
      <w:bookmarkStart w:id="148" w:name="_Toc28514"/>
      <w:bookmarkStart w:id="149" w:name="_Toc15396625"/>
      <w:r>
        <w:rPr>
          <w:rFonts w:hint="eastAsia" w:ascii="仿宋_GB2312" w:hAnsi="仿宋" w:eastAsia="仿宋_GB2312" w:cs="仿宋"/>
          <w:color w:val="000000"/>
          <w:kern w:val="0"/>
          <w:sz w:val="32"/>
          <w:szCs w:val="32"/>
          <w:lang w:val="en-US" w:eastAsia="zh-CN" w:bidi="ar-SA"/>
        </w:rPr>
        <w:t>七、一般公共预算财政拨款支出决算明细表</w:t>
      </w:r>
      <w:bookmarkEnd w:id="146"/>
      <w:bookmarkEnd w:id="147"/>
      <w:bookmarkEnd w:id="148"/>
      <w:bookmarkEnd w:id="149"/>
    </w:p>
    <w:p w14:paraId="5C881234">
      <w:pPr>
        <w:spacing w:line="600" w:lineRule="exact"/>
        <w:ind w:firstLine="640" w:firstLineChars="200"/>
        <w:jc w:val="both"/>
        <w:outlineLvl w:val="1"/>
        <w:rPr>
          <w:rFonts w:hint="eastAsia" w:ascii="仿宋_GB2312" w:hAnsi="仿宋" w:eastAsia="仿宋_GB2312" w:cs="仿宋"/>
          <w:color w:val="000000"/>
          <w:kern w:val="0"/>
          <w:sz w:val="32"/>
          <w:szCs w:val="32"/>
          <w:lang w:val="en-US" w:eastAsia="zh-CN" w:bidi="ar-SA"/>
        </w:rPr>
      </w:pPr>
      <w:bookmarkStart w:id="150" w:name="_Toc13582"/>
      <w:bookmarkStart w:id="151" w:name="_Toc10754"/>
      <w:bookmarkStart w:id="152" w:name="_Toc1924"/>
      <w:bookmarkStart w:id="153" w:name="_Toc15396626"/>
      <w:r>
        <w:rPr>
          <w:rFonts w:hint="eastAsia" w:ascii="仿宋_GB2312" w:hAnsi="仿宋" w:eastAsia="仿宋_GB2312" w:cs="仿宋"/>
          <w:color w:val="000000"/>
          <w:kern w:val="0"/>
          <w:sz w:val="32"/>
          <w:szCs w:val="32"/>
          <w:lang w:val="en-US" w:eastAsia="zh-CN" w:bidi="ar-SA"/>
        </w:rPr>
        <w:t>八、一般公共预算财政拨款基本支出决算表</w:t>
      </w:r>
      <w:bookmarkEnd w:id="150"/>
      <w:bookmarkEnd w:id="151"/>
      <w:bookmarkEnd w:id="152"/>
      <w:bookmarkEnd w:id="153"/>
    </w:p>
    <w:p w14:paraId="48963BAA">
      <w:pPr>
        <w:spacing w:line="600" w:lineRule="exact"/>
        <w:ind w:firstLine="640" w:firstLineChars="200"/>
        <w:jc w:val="both"/>
        <w:outlineLvl w:val="1"/>
        <w:rPr>
          <w:rFonts w:hint="eastAsia" w:ascii="仿宋_GB2312" w:hAnsi="仿宋" w:eastAsia="仿宋_GB2312" w:cs="仿宋"/>
          <w:color w:val="000000"/>
          <w:kern w:val="0"/>
          <w:sz w:val="32"/>
          <w:szCs w:val="32"/>
          <w:lang w:val="en-US" w:eastAsia="zh-CN" w:bidi="ar-SA"/>
        </w:rPr>
      </w:pPr>
      <w:bookmarkStart w:id="154" w:name="_Toc755"/>
      <w:bookmarkStart w:id="155" w:name="_Toc21996"/>
      <w:bookmarkStart w:id="156" w:name="_Toc9851"/>
      <w:bookmarkStart w:id="157" w:name="_Toc15396627"/>
      <w:r>
        <w:rPr>
          <w:rFonts w:hint="eastAsia" w:ascii="仿宋_GB2312" w:hAnsi="仿宋" w:eastAsia="仿宋_GB2312" w:cs="仿宋"/>
          <w:color w:val="000000"/>
          <w:kern w:val="0"/>
          <w:sz w:val="32"/>
          <w:szCs w:val="32"/>
          <w:lang w:val="en-US" w:eastAsia="zh-CN" w:bidi="ar-SA"/>
        </w:rPr>
        <w:t>九、一般公共预算财政拨款项目支出决算表</w:t>
      </w:r>
      <w:bookmarkEnd w:id="154"/>
      <w:bookmarkEnd w:id="155"/>
      <w:bookmarkEnd w:id="156"/>
      <w:bookmarkEnd w:id="157"/>
    </w:p>
    <w:p w14:paraId="16B26E3B">
      <w:pPr>
        <w:spacing w:line="600" w:lineRule="exact"/>
        <w:ind w:firstLine="640" w:firstLineChars="200"/>
        <w:jc w:val="both"/>
        <w:outlineLvl w:val="1"/>
        <w:rPr>
          <w:rFonts w:hint="eastAsia" w:ascii="仿宋_GB2312" w:hAnsi="仿宋" w:eastAsia="仿宋_GB2312" w:cs="仿宋"/>
          <w:color w:val="000000"/>
          <w:kern w:val="0"/>
          <w:sz w:val="32"/>
          <w:szCs w:val="32"/>
          <w:lang w:val="en-US" w:eastAsia="zh-CN" w:bidi="ar-SA"/>
        </w:rPr>
      </w:pPr>
      <w:bookmarkStart w:id="158" w:name="_Toc15396628"/>
      <w:bookmarkStart w:id="159" w:name="_Toc13430"/>
      <w:bookmarkStart w:id="160" w:name="_Toc7794"/>
      <w:bookmarkStart w:id="161" w:name="_Toc1513"/>
      <w:r>
        <w:rPr>
          <w:rFonts w:hint="eastAsia" w:ascii="仿宋_GB2312" w:hAnsi="仿宋" w:eastAsia="仿宋_GB2312" w:cs="仿宋"/>
          <w:color w:val="000000"/>
          <w:kern w:val="0"/>
          <w:sz w:val="32"/>
          <w:szCs w:val="32"/>
          <w:lang w:val="en-US" w:eastAsia="zh-CN" w:bidi="ar-SA"/>
        </w:rPr>
        <w:t>十、</w:t>
      </w:r>
      <w:bookmarkEnd w:id="158"/>
      <w:r>
        <w:rPr>
          <w:rFonts w:hint="eastAsia" w:ascii="仿宋_GB2312" w:hAnsi="仿宋" w:eastAsia="仿宋_GB2312" w:cs="仿宋"/>
          <w:color w:val="000000"/>
          <w:kern w:val="0"/>
          <w:sz w:val="32"/>
          <w:szCs w:val="32"/>
          <w:lang w:val="en-US" w:eastAsia="zh-CN" w:bidi="ar-SA"/>
        </w:rPr>
        <w:t>政府性基金预算财政拨款收入支出决算表</w:t>
      </w:r>
      <w:bookmarkEnd w:id="159"/>
      <w:bookmarkEnd w:id="160"/>
      <w:bookmarkEnd w:id="161"/>
    </w:p>
    <w:p w14:paraId="7E2ABAF4">
      <w:pPr>
        <w:spacing w:line="600" w:lineRule="exact"/>
        <w:ind w:firstLine="640" w:firstLineChars="200"/>
        <w:jc w:val="both"/>
        <w:outlineLvl w:val="1"/>
        <w:rPr>
          <w:rFonts w:hint="eastAsia" w:ascii="仿宋_GB2312" w:hAnsi="仿宋" w:eastAsia="仿宋_GB2312" w:cs="仿宋"/>
          <w:color w:val="000000"/>
          <w:kern w:val="0"/>
          <w:sz w:val="32"/>
          <w:szCs w:val="32"/>
          <w:lang w:val="en-US" w:eastAsia="zh-CN" w:bidi="ar-SA"/>
        </w:rPr>
      </w:pPr>
      <w:bookmarkStart w:id="162" w:name="_Toc15396629"/>
      <w:bookmarkStart w:id="163" w:name="_Toc5701"/>
      <w:bookmarkStart w:id="164" w:name="_Toc22295"/>
      <w:bookmarkStart w:id="165" w:name="_Toc9734"/>
      <w:r>
        <w:rPr>
          <w:rFonts w:hint="eastAsia" w:ascii="仿宋_GB2312" w:hAnsi="仿宋" w:eastAsia="仿宋_GB2312" w:cs="仿宋"/>
          <w:color w:val="000000"/>
          <w:kern w:val="0"/>
          <w:sz w:val="32"/>
          <w:szCs w:val="32"/>
          <w:lang w:val="en-US" w:eastAsia="zh-CN" w:bidi="ar-SA"/>
        </w:rPr>
        <w:t>十一、</w:t>
      </w:r>
      <w:bookmarkEnd w:id="162"/>
      <w:r>
        <w:rPr>
          <w:rFonts w:hint="eastAsia" w:ascii="仿宋_GB2312" w:hAnsi="仿宋" w:eastAsia="仿宋_GB2312" w:cs="仿宋"/>
          <w:color w:val="000000"/>
          <w:kern w:val="0"/>
          <w:sz w:val="32"/>
          <w:szCs w:val="32"/>
          <w:lang w:val="en-US" w:eastAsia="zh-CN" w:bidi="ar-SA"/>
        </w:rPr>
        <w:t>国有资本经营预算财政拨款收入支出决算表</w:t>
      </w:r>
      <w:bookmarkEnd w:id="163"/>
      <w:bookmarkEnd w:id="164"/>
      <w:bookmarkEnd w:id="165"/>
    </w:p>
    <w:p w14:paraId="5FC720B6">
      <w:pPr>
        <w:spacing w:line="600" w:lineRule="exact"/>
        <w:ind w:firstLine="640" w:firstLineChars="200"/>
        <w:jc w:val="both"/>
        <w:outlineLvl w:val="1"/>
        <w:rPr>
          <w:rFonts w:hint="eastAsia" w:ascii="仿宋_GB2312" w:hAnsi="仿宋" w:eastAsia="仿宋_GB2312" w:cs="仿宋"/>
          <w:color w:val="000000"/>
          <w:kern w:val="0"/>
          <w:sz w:val="32"/>
          <w:szCs w:val="32"/>
          <w:lang w:val="en-US" w:eastAsia="zh-CN" w:bidi="ar-SA"/>
        </w:rPr>
      </w:pPr>
      <w:bookmarkStart w:id="166" w:name="_Toc15396630"/>
      <w:bookmarkStart w:id="167" w:name="_Toc30715"/>
      <w:bookmarkStart w:id="168" w:name="_Toc28259"/>
      <w:bookmarkStart w:id="169" w:name="_Toc20862"/>
      <w:r>
        <w:rPr>
          <w:rFonts w:hint="eastAsia" w:ascii="仿宋_GB2312" w:hAnsi="仿宋" w:eastAsia="仿宋_GB2312" w:cs="仿宋"/>
          <w:color w:val="000000"/>
          <w:kern w:val="0"/>
          <w:sz w:val="32"/>
          <w:szCs w:val="32"/>
          <w:lang w:val="en-US" w:eastAsia="zh-CN" w:bidi="ar-SA"/>
        </w:rPr>
        <w:t>十二、</w:t>
      </w:r>
      <w:bookmarkEnd w:id="166"/>
      <w:r>
        <w:rPr>
          <w:rFonts w:hint="eastAsia" w:ascii="仿宋_GB2312" w:hAnsi="仿宋" w:eastAsia="仿宋_GB2312" w:cs="仿宋"/>
          <w:color w:val="000000"/>
          <w:kern w:val="0"/>
          <w:sz w:val="32"/>
          <w:szCs w:val="32"/>
          <w:lang w:val="en-US" w:eastAsia="zh-CN" w:bidi="ar-SA"/>
        </w:rPr>
        <w:t>国有资本经营预算财政拨款支出决算表</w:t>
      </w:r>
      <w:bookmarkEnd w:id="167"/>
      <w:bookmarkEnd w:id="168"/>
      <w:bookmarkEnd w:id="169"/>
    </w:p>
    <w:p w14:paraId="6694402B">
      <w:pPr>
        <w:spacing w:line="600" w:lineRule="exact"/>
        <w:ind w:firstLine="640" w:firstLineChars="200"/>
        <w:jc w:val="both"/>
        <w:outlineLvl w:val="1"/>
        <w:rPr>
          <w:rFonts w:hint="eastAsia" w:ascii="仿宋_GB2312" w:hAnsi="仿宋" w:eastAsia="仿宋_GB2312" w:cs="仿宋"/>
          <w:color w:val="000000"/>
          <w:kern w:val="0"/>
          <w:sz w:val="32"/>
          <w:szCs w:val="32"/>
          <w:lang w:val="en-US" w:eastAsia="zh-CN" w:bidi="ar-SA"/>
        </w:rPr>
      </w:pPr>
      <w:bookmarkStart w:id="170" w:name="_Toc15396631"/>
      <w:bookmarkStart w:id="171" w:name="_Toc19430"/>
      <w:bookmarkStart w:id="172" w:name="_Toc9077"/>
      <w:bookmarkStart w:id="173" w:name="_Toc9056"/>
      <w:r>
        <w:rPr>
          <w:rFonts w:hint="eastAsia" w:ascii="仿宋_GB2312" w:hAnsi="仿宋" w:eastAsia="仿宋_GB2312" w:cs="仿宋"/>
          <w:color w:val="000000"/>
          <w:kern w:val="0"/>
          <w:sz w:val="32"/>
          <w:szCs w:val="32"/>
          <w:lang w:val="en-US" w:eastAsia="zh-CN" w:bidi="ar-SA"/>
        </w:rPr>
        <w:t>十三、</w:t>
      </w:r>
      <w:bookmarkEnd w:id="170"/>
      <w:r>
        <w:rPr>
          <w:rFonts w:hint="eastAsia" w:ascii="仿宋_GB2312" w:hAnsi="仿宋" w:eastAsia="仿宋_GB2312" w:cs="仿宋"/>
          <w:color w:val="000000"/>
          <w:kern w:val="0"/>
          <w:sz w:val="32"/>
          <w:szCs w:val="32"/>
          <w:lang w:val="en-US" w:eastAsia="zh-CN" w:bidi="ar-SA"/>
        </w:rPr>
        <w:t>财政拨款“三公”经费支出决算表</w:t>
      </w:r>
      <w:bookmarkEnd w:id="171"/>
      <w:bookmarkEnd w:id="172"/>
      <w:bookmarkEnd w:id="1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1985820">
        <w:pPr>
          <w:pStyle w:val="12"/>
          <w:jc w:val="center"/>
        </w:pPr>
        <w:r>
          <w:fldChar w:fldCharType="begin"/>
        </w:r>
        <w:r>
          <w:instrText xml:space="preserve">PAGE   \* MERGEFORMAT</w:instrText>
        </w:r>
        <w:r>
          <w:fldChar w:fldCharType="separate"/>
        </w:r>
        <w:r>
          <w:rPr>
            <w:lang w:val="zh-CN"/>
          </w:rPr>
          <w:t>8</w:t>
        </w:r>
        <w:r>
          <w:fldChar w:fldCharType="end"/>
        </w:r>
      </w:p>
    </w:sdtContent>
  </w:sdt>
  <w:p w14:paraId="24DB8F6E">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6833C">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zU0Y2Y4YzkwYjg1MDYyODA3ZjM4ZGUxMjdiND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87EAD"/>
    <w:rsid w:val="01980232"/>
    <w:rsid w:val="01D45C7C"/>
    <w:rsid w:val="02BA63FE"/>
    <w:rsid w:val="053A62B5"/>
    <w:rsid w:val="058F6A6D"/>
    <w:rsid w:val="060E737E"/>
    <w:rsid w:val="06CC4FCB"/>
    <w:rsid w:val="06E51A7F"/>
    <w:rsid w:val="09136724"/>
    <w:rsid w:val="0A2032A3"/>
    <w:rsid w:val="0B779B42"/>
    <w:rsid w:val="0B8A37D8"/>
    <w:rsid w:val="0CFA5CD7"/>
    <w:rsid w:val="0DA9B83F"/>
    <w:rsid w:val="102A1DC3"/>
    <w:rsid w:val="10C055FF"/>
    <w:rsid w:val="118107EC"/>
    <w:rsid w:val="11DD6519"/>
    <w:rsid w:val="127929E7"/>
    <w:rsid w:val="16976B7A"/>
    <w:rsid w:val="16BB723D"/>
    <w:rsid w:val="17655DBA"/>
    <w:rsid w:val="18015F3F"/>
    <w:rsid w:val="19D47BEA"/>
    <w:rsid w:val="1BE8440E"/>
    <w:rsid w:val="1C5D6004"/>
    <w:rsid w:val="1D155CEE"/>
    <w:rsid w:val="1D4E264C"/>
    <w:rsid w:val="1FD004DD"/>
    <w:rsid w:val="20F57F95"/>
    <w:rsid w:val="23C555DF"/>
    <w:rsid w:val="240371BF"/>
    <w:rsid w:val="25711CC6"/>
    <w:rsid w:val="25C741E6"/>
    <w:rsid w:val="26DB434E"/>
    <w:rsid w:val="272B2C0A"/>
    <w:rsid w:val="27453439"/>
    <w:rsid w:val="276D6036"/>
    <w:rsid w:val="27842671"/>
    <w:rsid w:val="29E80C20"/>
    <w:rsid w:val="29FD04D3"/>
    <w:rsid w:val="2ABE7A3E"/>
    <w:rsid w:val="2BD53340"/>
    <w:rsid w:val="2CA234A8"/>
    <w:rsid w:val="2CEFA74D"/>
    <w:rsid w:val="2D7FF7D6"/>
    <w:rsid w:val="2EFA178C"/>
    <w:rsid w:val="30B46D73"/>
    <w:rsid w:val="313501A0"/>
    <w:rsid w:val="31711667"/>
    <w:rsid w:val="319F7F4E"/>
    <w:rsid w:val="325871A8"/>
    <w:rsid w:val="325F5A58"/>
    <w:rsid w:val="34345AFF"/>
    <w:rsid w:val="355F66E6"/>
    <w:rsid w:val="35FF5D04"/>
    <w:rsid w:val="35FFBC50"/>
    <w:rsid w:val="36A800BD"/>
    <w:rsid w:val="36C90F65"/>
    <w:rsid w:val="383D272C"/>
    <w:rsid w:val="394A3CE5"/>
    <w:rsid w:val="398E6CC1"/>
    <w:rsid w:val="39AE70AB"/>
    <w:rsid w:val="3A830B2E"/>
    <w:rsid w:val="3B8D6E40"/>
    <w:rsid w:val="3C0C0783"/>
    <w:rsid w:val="3D27FE28"/>
    <w:rsid w:val="3E5F47C3"/>
    <w:rsid w:val="3EBB5ABB"/>
    <w:rsid w:val="3F9F3A96"/>
    <w:rsid w:val="401C35B7"/>
    <w:rsid w:val="433A7771"/>
    <w:rsid w:val="43AE3D75"/>
    <w:rsid w:val="44240F60"/>
    <w:rsid w:val="45900F58"/>
    <w:rsid w:val="45B3679A"/>
    <w:rsid w:val="46C9141B"/>
    <w:rsid w:val="48BF60AB"/>
    <w:rsid w:val="49276B29"/>
    <w:rsid w:val="493C27E9"/>
    <w:rsid w:val="494B0A69"/>
    <w:rsid w:val="496F39ED"/>
    <w:rsid w:val="49FF41D3"/>
    <w:rsid w:val="4A0A73AF"/>
    <w:rsid w:val="4BAF6AAD"/>
    <w:rsid w:val="4BE068DB"/>
    <w:rsid w:val="4BF6002B"/>
    <w:rsid w:val="4ECE2238"/>
    <w:rsid w:val="4F988005"/>
    <w:rsid w:val="4FEE0A9E"/>
    <w:rsid w:val="50B318C0"/>
    <w:rsid w:val="50F83094"/>
    <w:rsid w:val="5176689F"/>
    <w:rsid w:val="51DB4B86"/>
    <w:rsid w:val="51EFB4A0"/>
    <w:rsid w:val="53660DE6"/>
    <w:rsid w:val="55333C3E"/>
    <w:rsid w:val="562543F0"/>
    <w:rsid w:val="57D872C0"/>
    <w:rsid w:val="59635429"/>
    <w:rsid w:val="5B6D753C"/>
    <w:rsid w:val="5BC856AC"/>
    <w:rsid w:val="5DAF3017"/>
    <w:rsid w:val="5DB0032E"/>
    <w:rsid w:val="5EBF0DD9"/>
    <w:rsid w:val="5FC67D3F"/>
    <w:rsid w:val="5FECA178"/>
    <w:rsid w:val="600D4B44"/>
    <w:rsid w:val="60B01F30"/>
    <w:rsid w:val="61E80774"/>
    <w:rsid w:val="63351C6B"/>
    <w:rsid w:val="64CA39A1"/>
    <w:rsid w:val="658225FE"/>
    <w:rsid w:val="682F35ED"/>
    <w:rsid w:val="69630ADE"/>
    <w:rsid w:val="6A652063"/>
    <w:rsid w:val="6AD9583D"/>
    <w:rsid w:val="6C4A05C8"/>
    <w:rsid w:val="6D3B1A89"/>
    <w:rsid w:val="6DBFD8E7"/>
    <w:rsid w:val="6EB7A82E"/>
    <w:rsid w:val="6FB7E37C"/>
    <w:rsid w:val="6FBFA4C8"/>
    <w:rsid w:val="704E09C0"/>
    <w:rsid w:val="70B7CA5C"/>
    <w:rsid w:val="71BF4EC2"/>
    <w:rsid w:val="724A0B58"/>
    <w:rsid w:val="72734D90"/>
    <w:rsid w:val="73B5D6A1"/>
    <w:rsid w:val="73FE0E49"/>
    <w:rsid w:val="7412278C"/>
    <w:rsid w:val="74152B15"/>
    <w:rsid w:val="75C639D4"/>
    <w:rsid w:val="76DB7059"/>
    <w:rsid w:val="76F02967"/>
    <w:rsid w:val="77BD2530"/>
    <w:rsid w:val="77BFDA0F"/>
    <w:rsid w:val="77CFEBAB"/>
    <w:rsid w:val="79E7B28D"/>
    <w:rsid w:val="7BF75870"/>
    <w:rsid w:val="7C763CD1"/>
    <w:rsid w:val="7D1D5C9D"/>
    <w:rsid w:val="7DAE123B"/>
    <w:rsid w:val="7E7E4617"/>
    <w:rsid w:val="7EF97BF9"/>
    <w:rsid w:val="7F9F20EE"/>
    <w:rsid w:val="7FF74207"/>
    <w:rsid w:val="8FFF8374"/>
    <w:rsid w:val="9E3A10E2"/>
    <w:rsid w:val="9FFF668A"/>
    <w:rsid w:val="A1541992"/>
    <w:rsid w:val="AF6C9B8C"/>
    <w:rsid w:val="AFF345CE"/>
    <w:rsid w:val="BD1F5C13"/>
    <w:rsid w:val="BDFEEF24"/>
    <w:rsid w:val="BDFFCCD7"/>
    <w:rsid w:val="CF7DAD45"/>
    <w:rsid w:val="CF7F5624"/>
    <w:rsid w:val="D5FFA629"/>
    <w:rsid w:val="D6AC37A3"/>
    <w:rsid w:val="D7FE0D24"/>
    <w:rsid w:val="DBE7A7C6"/>
    <w:rsid w:val="DEBDA3F0"/>
    <w:rsid w:val="EBEFA51F"/>
    <w:rsid w:val="EFAF5DE2"/>
    <w:rsid w:val="EFEB0664"/>
    <w:rsid w:val="EFF4B7F5"/>
    <w:rsid w:val="F2E1F9D4"/>
    <w:rsid w:val="F5FBB353"/>
    <w:rsid w:val="F7880819"/>
    <w:rsid w:val="F7FFB86B"/>
    <w:rsid w:val="F8DFE8A1"/>
    <w:rsid w:val="FED60DEA"/>
    <w:rsid w:val="FEED1E28"/>
    <w:rsid w:val="FF6D8FC6"/>
    <w:rsid w:val="FFF48CDC"/>
    <w:rsid w:val="FFFB45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Normal Indent"/>
    <w:basedOn w:val="1"/>
    <w:qFormat/>
    <w:uiPriority w:val="0"/>
    <w:pPr>
      <w:ind w:firstLine="420"/>
    </w:pPr>
    <w:rPr>
      <w:szCs w:val="20"/>
    </w:r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默认段落字体1"/>
    <w:qFormat/>
    <w:uiPriority w:val="0"/>
  </w:style>
  <w:style w:type="character" w:customStyle="1" w:styleId="36">
    <w:name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embeddings/oleObject7.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3332.38</c:v>
                </c:pt>
                <c:pt idx="1">
                  <c:v>5615.58</c:v>
                </c:pt>
              </c:numCache>
            </c:numRef>
          </c:val>
        </c:ser>
        <c:ser>
          <c:idx val="1"/>
          <c:order val="1"/>
          <c:tx>
            <c:strRef>
              <c:f>Sheet1!$C$1</c:f>
              <c:strCache>
                <c:ptCount val="1"/>
                <c:pt idx="0">
                  <c:v>支出（万元）</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Sheet1!$C$2:$C$3</c:f>
              <c:numCache>
                <c:formatCode>General</c:formatCode>
                <c:ptCount val="2"/>
                <c:pt idx="0">
                  <c:v>3332.38</c:v>
                </c:pt>
                <c:pt idx="1">
                  <c:v>5615.58</c:v>
                </c:pt>
              </c:numCache>
            </c:numRef>
          </c:val>
        </c:ser>
        <c:dLbls>
          <c:showLegendKey val="0"/>
          <c:showVal val="1"/>
          <c:showCatName val="0"/>
          <c:showSerName val="0"/>
          <c:showPercent val="0"/>
          <c:showBubbleSize val="0"/>
        </c:dLbls>
        <c:gapWidth val="219"/>
        <c:overlap val="-27"/>
        <c:axId val="65699200"/>
        <c:axId val="65729664"/>
      </c:barChart>
      <c:catAx>
        <c:axId val="6569920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729664"/>
        <c:crosses val="autoZero"/>
        <c:auto val="1"/>
        <c:lblAlgn val="ctr"/>
        <c:lblOffset val="100"/>
        <c:noMultiLvlLbl val="0"/>
      </c:catAx>
      <c:valAx>
        <c:axId val="65729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6992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b956884-2c5c-4481-9249-0ebd121fa0d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2023</a:t>
            </a:r>
            <a:r>
              <a:rPr lang="zh-CN" altLang="en-US"/>
              <a:t>年收入决算结构图（万元）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2024年收入（万元）</c:v>
                </c:pt>
              </c:strCache>
            </c:strRef>
          </c:tx>
          <c:spPr/>
          <c:explosion val="0"/>
          <c:dPt>
            <c:idx val="0"/>
            <c:bubble3D val="0"/>
            <c:spPr>
              <a:solidFill>
                <a:schemeClr val="accent2">
                  <a:shade val="76667"/>
                </a:schemeClr>
              </a:solidFill>
              <a:ln>
                <a:noFill/>
              </a:ln>
              <a:effectLst/>
            </c:spPr>
          </c:dPt>
          <c:dPt>
            <c:idx val="1"/>
            <c:bubble3D val="0"/>
            <c:spPr>
              <a:solidFill>
                <a:schemeClr val="accent2">
                  <a:tint val="76667"/>
                </a:schemeClr>
              </a:solidFill>
              <a:ln>
                <a:noFill/>
              </a:ln>
              <a:effectLst/>
            </c:spPr>
          </c:dPt>
          <c:dLbls>
            <c:dLbl>
              <c:idx val="1"/>
              <c:layout>
                <c:manualLayout>
                  <c:x val="-0.00921678411211737"/>
                  <c:y val="-0.01186768320626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3332.38</c:v>
                </c:pt>
                <c:pt idx="1">
                  <c:v>0</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5da6150-4c1e-4843-a779-0800c7989e69}"/>
      </c:ext>
    </c:extLst>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tx>
            <c:strRef>
              <c:f>Sheet1!$B$1</c:f>
              <c:strCache>
                <c:ptCount val="1"/>
                <c:pt idx="0">
                  <c:v>2024年支出（万元）</c:v>
                </c:pt>
              </c:strCache>
            </c:strRef>
          </c:tx>
          <c:spPr/>
          <c:explosion val="0"/>
          <c:dPt>
            <c:idx val="0"/>
            <c:bubble3D val="0"/>
            <c:spPr>
              <a:solidFill>
                <a:schemeClr val="accent4">
                  <a:shade val="76667"/>
                </a:schemeClr>
              </a:solidFill>
              <a:ln>
                <a:noFill/>
              </a:ln>
              <a:effectLst/>
            </c:spPr>
          </c:dPt>
          <c:dPt>
            <c:idx val="1"/>
            <c:bubble3D val="0"/>
            <c:spPr>
              <a:solidFill>
                <a:schemeClr val="accent4">
                  <a:tint val="76667"/>
                </a:schemeClr>
              </a:solidFill>
              <a:ln>
                <a:noFill/>
              </a:ln>
              <a:effectLst/>
            </c:spPr>
          </c:dPt>
          <c:dLbls>
            <c:dLbl>
              <c:idx val="1"/>
              <c:layout>
                <c:manualLayout>
                  <c:x val="-0.00921678411211737"/>
                  <c:y val="-0.01186768320626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2179.88</c:v>
                </c:pt>
                <c:pt idx="1">
                  <c:v>1152.5</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4b65b48-d42e-495a-9f3c-a9e60beafb73}"/>
      </c:ext>
    </c:extLst>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hade val="95000"/>
                          <a:satMod val="105000"/>
                        </a:schemeClr>
                      </a:solidFill>
                      <a:prstDash val="solid"/>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3332.38</c:v>
                </c:pt>
                <c:pt idx="1">
                  <c:v>3317</c:v>
                </c:pt>
              </c:numCache>
            </c:numRef>
          </c:val>
        </c:ser>
        <c:ser>
          <c:idx val="1"/>
          <c:order val="1"/>
          <c:tx>
            <c:strRef>
              <c:f>Sheet1!$C$1</c:f>
              <c:strCache>
                <c:ptCount val="1"/>
                <c:pt idx="0">
                  <c:v>支出（万元）</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hade val="95000"/>
                          <a:satMod val="105000"/>
                        </a:schemeClr>
                      </a:solidFill>
                      <a:prstDash val="solid"/>
                      <a:round/>
                    </a:ln>
                    <a:effectLst/>
                  </c:spPr>
                </c15:leaderLines>
              </c:ext>
            </c:extLst>
          </c:dLbls>
          <c:cat>
            <c:strRef>
              <c:f>Sheet1!$A$2:$A$3</c:f>
              <c:strCache>
                <c:ptCount val="2"/>
                <c:pt idx="0">
                  <c:v>2024年</c:v>
                </c:pt>
                <c:pt idx="1">
                  <c:v>2023年</c:v>
                </c:pt>
              </c:strCache>
            </c:strRef>
          </c:cat>
          <c:val>
            <c:numRef>
              <c:f>Sheet1!$C$2:$C$3</c:f>
              <c:numCache>
                <c:formatCode>General</c:formatCode>
                <c:ptCount val="2"/>
                <c:pt idx="0">
                  <c:v>3332.38</c:v>
                </c:pt>
                <c:pt idx="1">
                  <c:v>3317</c:v>
                </c:pt>
              </c:numCache>
            </c:numRef>
          </c:val>
        </c:ser>
        <c:dLbls>
          <c:showLegendKey val="0"/>
          <c:showVal val="1"/>
          <c:showCatName val="0"/>
          <c:showSerName val="0"/>
          <c:showPercent val="0"/>
          <c:showBubbleSize val="0"/>
        </c:dLbls>
        <c:gapWidth val="150"/>
        <c:axId val="65699200"/>
        <c:axId val="65729664"/>
      </c:barChart>
      <c:catAx>
        <c:axId val="65699200"/>
        <c:scaling>
          <c:orientation val="minMax"/>
        </c:scaling>
        <c:delete val="0"/>
        <c:axPos val="b"/>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729664"/>
        <c:crosses val="autoZero"/>
        <c:auto val="1"/>
        <c:lblAlgn val="ctr"/>
        <c:lblOffset val="100"/>
        <c:noMultiLvlLbl val="0"/>
      </c:catAx>
      <c:valAx>
        <c:axId val="65729664"/>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699200"/>
        <c:crosses val="autoZero"/>
        <c:crossBetween val="between"/>
      </c:valAx>
      <c:spPr>
        <a:solidFill>
          <a:schemeClr val="bg1"/>
        </a:solidFill>
        <a:ln>
          <a:noFill/>
        </a:ln>
        <a:effectLst/>
      </c:spPr>
    </c:plotArea>
    <c:legend>
      <c:legendPos val="r"/>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d35f888-9d8e-4d44-983e-8c408739b519}"/>
      </c:ext>
    </c:extLst>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0917451062891948"/>
          <c:y val="0.174708914397748"/>
          <c:w val="0.541882150227404"/>
          <c:h val="0.721489422255953"/>
        </c:manualLayout>
      </c:layout>
      <c:barChart>
        <c:barDir val="col"/>
        <c:grouping val="clustered"/>
        <c:varyColors val="0"/>
        <c:ser>
          <c:idx val="0"/>
          <c:order val="0"/>
          <c:tx>
            <c:strRef>
              <c:f>Sheet1!$B$1</c:f>
              <c:strCache>
                <c:ptCount val="1"/>
                <c:pt idx="0">
                  <c:v>一般公共预算财政拨款支出</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hade val="95000"/>
                          <a:satMod val="105000"/>
                        </a:schemeClr>
                      </a:solidFill>
                      <a:prstDash val="solid"/>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3332.38</c:v>
                </c:pt>
                <c:pt idx="1">
                  <c:v>3317</c:v>
                </c:pt>
              </c:numCache>
            </c:numRef>
          </c:val>
        </c:ser>
        <c:dLbls>
          <c:showLegendKey val="0"/>
          <c:showVal val="1"/>
          <c:showCatName val="0"/>
          <c:showSerName val="0"/>
          <c:showPercent val="0"/>
          <c:showBubbleSize val="0"/>
        </c:dLbls>
        <c:gapWidth val="150"/>
        <c:axId val="67351680"/>
        <c:axId val="67353216"/>
      </c:barChart>
      <c:catAx>
        <c:axId val="67351680"/>
        <c:scaling>
          <c:orientation val="minMax"/>
        </c:scaling>
        <c:delete val="0"/>
        <c:axPos val="b"/>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7353216"/>
        <c:crosses val="autoZero"/>
        <c:auto val="1"/>
        <c:lblAlgn val="ctr"/>
        <c:lblOffset val="100"/>
        <c:noMultiLvlLbl val="0"/>
      </c:catAx>
      <c:valAx>
        <c:axId val="6735321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7351680"/>
        <c:crosses val="autoZero"/>
        <c:crossBetween val="between"/>
      </c:valAx>
      <c:spPr>
        <a:solidFill>
          <a:schemeClr val="bg1"/>
        </a:solidFill>
        <a:ln>
          <a:noFill/>
        </a:ln>
        <a:effectLst/>
      </c:spPr>
    </c:plotArea>
    <c:legend>
      <c:legendPos val="r"/>
      <c:layout>
        <c:manualLayout>
          <c:xMode val="edge"/>
          <c:yMode val="edge"/>
          <c:x val="0.666918238993711"/>
          <c:y val="0.566463414634146"/>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26c4023-b049-4e6c-adc1-940c0693c9b1}"/>
      </c:ext>
    </c:extLst>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一般公共预算财政拨款支出(万元）</c:v>
                </c:pt>
              </c:strCache>
            </c:strRef>
          </c:tx>
          <c:explosion val="0"/>
          <c:dPt>
            <c:idx val="0"/>
            <c:bubble3D val="0"/>
          </c:dPt>
          <c:dPt>
            <c:idx val="1"/>
            <c:bubble3D val="0"/>
          </c:dPt>
          <c:dPt>
            <c:idx val="2"/>
            <c:bubble3D val="0"/>
          </c:dPt>
          <c:dLbls>
            <c:dLbl>
              <c:idx val="0"/>
              <c:layout>
                <c:manualLayout>
                  <c:x val="0.0333091911548619"/>
                  <c:y val="-0.03021491878732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647502706515171"/>
                  <c:y val="-0.0072680588839439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社会保障和就业支出（类）</c:v>
                </c:pt>
                <c:pt idx="1">
                  <c:v>卫生健康支出（类）</c:v>
                </c:pt>
                <c:pt idx="2">
                  <c:v>住房保障支出（类）</c:v>
                </c:pt>
              </c:strCache>
            </c:strRef>
          </c:cat>
          <c:val>
            <c:numRef>
              <c:f>Sheet1!$B$2:$B$4</c:f>
              <c:numCache>
                <c:formatCode>General</c:formatCode>
                <c:ptCount val="3"/>
                <c:pt idx="0">
                  <c:v>210.12</c:v>
                </c:pt>
                <c:pt idx="1" c:formatCode="#,##0.00">
                  <c:v>2975.14</c:v>
                </c:pt>
                <c:pt idx="2">
                  <c:v>147.12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bff21dd-bcff-4107-bff3-f8b95d5582e1}"/>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“三公”经费支出</c:v>
                </c:pt>
              </c:strCache>
            </c:strRef>
          </c:tx>
          <c:spPr/>
          <c:explosion val="0"/>
          <c:dPt>
            <c:idx val="0"/>
            <c:bubble3D val="0"/>
            <c:spPr>
              <a:solidFill>
                <a:schemeClr val="accent1"/>
              </a:solidFill>
              <a:ln>
                <a:noFill/>
              </a:ln>
              <a:effectLst/>
            </c:spPr>
          </c:dPt>
          <c:dPt>
            <c:idx val="1"/>
            <c:bubble3D val="0"/>
            <c:spPr>
              <a:solidFill>
                <a:schemeClr val="accent3"/>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Sheet1!$A$2:$A$3</c:f>
              <c:strCache>
                <c:ptCount val="2"/>
                <c:pt idx="0">
                  <c:v>公务用车运行维护费</c:v>
                </c:pt>
                <c:pt idx="1">
                  <c:v>公务接待费</c:v>
                </c:pt>
              </c:strCache>
            </c:strRef>
          </c:cat>
          <c:val>
            <c:numRef>
              <c:f>Sheet1!$B$2:$B$3</c:f>
              <c:numCache>
                <c:formatCode>General</c:formatCode>
                <c:ptCount val="2"/>
                <c:pt idx="0">
                  <c:v>25.45</c:v>
                </c:pt>
                <c:pt idx="1">
                  <c:v>2.49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08e08a1-24e9-4bd4-8138-1cee63b748cf}"/>
      </c:ext>
    </c:extLst>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5246</Words>
  <Characters>5839</Characters>
  <Lines>61</Lines>
  <Paragraphs>17</Paragraphs>
  <TotalTime>52</TotalTime>
  <ScaleCrop>false</ScaleCrop>
  <LinksUpToDate>false</LinksUpToDate>
  <CharactersWithSpaces>5899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2020-08-06T09:49:00Z</dcterms:created>
  <dc:creator>曹颖</dc:creator>
  <cp:lastModifiedBy>Huaw</cp:lastModifiedBy>
  <cp:lastPrinted>2023-08-26T01:55:00Z</cp:lastPrinted>
  <dcterms:modified xsi:type="dcterms:W3CDTF">2025-08-20T09:30:53Z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252A14552AAF4DB7830A9D92EA604667_13</vt:lpwstr>
  </property>
</Properties>
</file>