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简体" w:hAnsi="宋体" w:eastAsia="方正小标宋简体"/>
          <w:sz w:val="72"/>
          <w:szCs w:val="72"/>
        </w:rPr>
      </w:pPr>
      <w:bookmarkStart w:id="0" w:name="_Toc15306267"/>
    </w:p>
    <w:p>
      <w:pPr>
        <w:spacing w:line="600" w:lineRule="exact"/>
        <w:jc w:val="center"/>
        <w:rPr>
          <w:rFonts w:ascii="方正小标宋简体" w:hAnsi="宋体" w:eastAsia="方正小标宋简体"/>
          <w:sz w:val="72"/>
          <w:szCs w:val="72"/>
        </w:rPr>
      </w:pPr>
    </w:p>
    <w:p>
      <w:pPr>
        <w:spacing w:line="600" w:lineRule="exact"/>
        <w:jc w:val="center"/>
        <w:rPr>
          <w:rFonts w:ascii="方正小标宋简体" w:hAnsi="宋体" w:eastAsia="方正小标宋简体"/>
          <w:sz w:val="72"/>
          <w:szCs w:val="72"/>
        </w:rPr>
      </w:pPr>
    </w:p>
    <w:p>
      <w:pPr>
        <w:spacing w:line="600" w:lineRule="exact"/>
        <w:jc w:val="center"/>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 w:name="_Toc15377193"/>
      <w:bookmarkStart w:id="2" w:name="_Toc15377425"/>
      <w:bookmarkStart w:id="3" w:name="_Toc15396597"/>
      <w:bookmarkStart w:id="4" w:name="_Toc15378441"/>
      <w:bookmarkStart w:id="5" w:name="_Toc28902"/>
      <w:bookmarkStart w:id="6" w:name="_Toc15396475"/>
      <w:r>
        <w:rPr>
          <w:rFonts w:hint="eastAsia" w:ascii="方正小标宋简体" w:hAnsi="方正小标宋简体" w:eastAsia="方正小标宋简体" w:cs="方正小标宋简体"/>
          <w:sz w:val="72"/>
          <w:szCs w:val="72"/>
        </w:rPr>
        <w:t>2024年度</w:t>
      </w:r>
      <w:bookmarkEnd w:id="0"/>
      <w:bookmarkEnd w:id="1"/>
      <w:bookmarkEnd w:id="2"/>
      <w:bookmarkEnd w:id="3"/>
      <w:bookmarkEnd w:id="4"/>
      <w:bookmarkEnd w:id="5"/>
      <w:bookmarkEnd w:id="6"/>
      <w:bookmarkStart w:id="7" w:name="_Toc15396598"/>
      <w:bookmarkStart w:id="8" w:name="_Toc15306268"/>
      <w:bookmarkStart w:id="9" w:name="_Toc15377426"/>
      <w:bookmarkStart w:id="10" w:name="_Toc15378442"/>
      <w:bookmarkStart w:id="11" w:name="_Toc15396476"/>
      <w:bookmarkStart w:id="12" w:name="_Toc15377194"/>
      <w:bookmarkStart w:id="13" w:name="_Toc19791"/>
    </w:p>
    <w:p>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四川省遂宁市紧急医疗救援中心单位决算</w:t>
      </w:r>
      <w:bookmarkEnd w:id="7"/>
      <w:bookmarkEnd w:id="8"/>
      <w:bookmarkEnd w:id="9"/>
      <w:bookmarkEnd w:id="10"/>
      <w:bookmarkEnd w:id="11"/>
      <w:bookmarkEnd w:id="12"/>
      <w:bookmarkEnd w:id="13"/>
    </w:p>
    <w:p>
      <w:pPr>
        <w:widowControl/>
        <w:jc w:val="center"/>
        <w:rPr>
          <w:rFonts w:hint="eastAsia" w:ascii="黑体" w:hAnsi="黑体" w:eastAsia="黑体"/>
          <w:sz w:val="48"/>
          <w:szCs w:val="48"/>
          <w:lang w:eastAsia="zh-CN"/>
        </w:rPr>
        <w:sectPr>
          <w:footerReference r:id="rId5" w:type="first"/>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pPr>
    </w:p>
    <w:p>
      <w:pPr>
        <w:widowControl/>
        <w:jc w:val="center"/>
        <w:rPr>
          <w:rFonts w:ascii="黑体" w:hAnsi="黑体" w:eastAsia="黑体"/>
          <w:sz w:val="48"/>
          <w:szCs w:val="48"/>
        </w:rPr>
      </w:pPr>
      <w:r>
        <w:rPr>
          <w:rFonts w:hint="eastAsia" w:ascii="黑体" w:hAnsi="黑体" w:eastAsia="黑体"/>
          <w:sz w:val="48"/>
          <w:szCs w:val="48"/>
        </w:rPr>
        <w:t>目录</w:t>
      </w:r>
    </w:p>
    <w:p>
      <w:pPr>
        <w:widowControl/>
        <w:jc w:val="center"/>
        <w:rPr>
          <w:rFonts w:ascii="黑体" w:hAnsi="黑体" w:eastAsia="黑体" w:cstheme="minorBidi"/>
          <w:sz w:val="28"/>
          <w:szCs w:val="28"/>
        </w:rPr>
      </w:pPr>
    </w:p>
    <w:p>
      <w:pPr>
        <w:pStyle w:val="13"/>
        <w:rPr>
          <w:rFonts w:ascii="宋体" w:hAnsi="宋体" w:eastAsia="宋体" w:cs="宋体"/>
          <w:sz w:val="24"/>
          <w:szCs w:val="24"/>
        </w:rPr>
      </w:pPr>
      <w:r>
        <w:rPr>
          <w:rFonts w:hint="eastAsia" w:ascii="宋体" w:hAnsi="宋体" w:eastAsia="宋体" w:cs="宋体"/>
          <w:sz w:val="24"/>
          <w:szCs w:val="24"/>
        </w:rPr>
        <w:t>公开时间：2025年8月13日</w:t>
      </w:r>
    </w:p>
    <w:p>
      <w:pPr>
        <w:rPr>
          <w:rFonts w:ascii="宋体" w:hAnsi="宋体" w:cs="宋体"/>
          <w:sz w:val="24"/>
        </w:rPr>
      </w:pPr>
    </w:p>
    <w:sdt>
      <w:sdtPr>
        <w:rPr>
          <w:rFonts w:hint="eastAsia" w:ascii="宋体" w:hAnsi="宋体" w:cs="宋体"/>
          <w:sz w:val="24"/>
        </w:rPr>
        <w:id w:val="147454599"/>
        <w:docPartObj>
          <w:docPartGallery w:val="Table of Contents"/>
          <w:docPartUnique/>
        </w:docPartObj>
      </w:sdtPr>
      <w:sdtEndPr>
        <w:rPr>
          <w:rFonts w:hint="eastAsia" w:ascii="宋体" w:hAnsi="宋体" w:cs="宋体"/>
          <w:b/>
          <w:sz w:val="24"/>
        </w:rPr>
      </w:sdtEndPr>
      <w:sdtContent>
        <w:p>
          <w:pPr>
            <w:jc w:val="center"/>
            <w:rPr>
              <w:rFonts w:ascii="宋体" w:hAnsi="宋体" w:cs="宋体"/>
              <w:sz w:val="24"/>
            </w:rPr>
          </w:pPr>
          <w:r>
            <w:rPr>
              <w:rFonts w:hint="eastAsia" w:ascii="宋体" w:hAnsi="宋体" w:cs="宋体"/>
              <w:sz w:val="24"/>
            </w:rPr>
            <w:t>目录</w:t>
          </w:r>
        </w:p>
        <w:p>
          <w:pPr>
            <w:pStyle w:val="36"/>
            <w:tabs>
              <w:tab w:val="right" w:leader="dot" w:pos="8306"/>
            </w:tabs>
            <w:rPr>
              <w:rFonts w:ascii="宋体" w:hAnsi="宋体" w:cs="宋体"/>
              <w:b/>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TOC \o "1-2" \h \u </w:instrText>
          </w:r>
          <w:r>
            <w:rPr>
              <w:rFonts w:hint="eastAsia" w:ascii="宋体" w:hAnsi="宋体" w:cs="宋体"/>
              <w:sz w:val="24"/>
              <w:szCs w:val="24"/>
            </w:rPr>
            <w:fldChar w:fldCharType="separate"/>
          </w:r>
        </w:p>
        <w:p>
          <w:pPr>
            <w:pStyle w:val="36"/>
            <w:tabs>
              <w:tab w:val="right" w:leader="dot" w:pos="8306"/>
            </w:tabs>
            <w:rPr>
              <w:rFonts w:ascii="宋体" w:hAnsi="宋体" w:cs="宋体"/>
              <w:bCs/>
              <w:sz w:val="24"/>
              <w:szCs w:val="24"/>
            </w:rPr>
          </w:pPr>
          <w:r>
            <w:fldChar w:fldCharType="begin"/>
          </w:r>
          <w:r>
            <w:instrText xml:space="preserve"> HYPERLINK \l "_Toc383" </w:instrText>
          </w:r>
          <w:r>
            <w:fldChar w:fldCharType="separate"/>
          </w:r>
          <w:r>
            <w:rPr>
              <w:rFonts w:hint="eastAsia" w:ascii="宋体" w:hAnsi="宋体" w:cs="宋体"/>
              <w:bCs/>
              <w:sz w:val="24"/>
              <w:szCs w:val="24"/>
            </w:rPr>
            <w:t>第一部分 单位概况....</w:t>
          </w:r>
          <w:r>
            <w:rPr>
              <w:rFonts w:hint="eastAsia" w:ascii="宋体" w:hAnsi="宋体" w:cs="宋体"/>
              <w:bCs/>
              <w:sz w:val="24"/>
              <w:szCs w:val="24"/>
            </w:rPr>
            <w:tab/>
          </w:r>
          <w:r>
            <w:rPr>
              <w:rFonts w:hint="eastAsia" w:ascii="宋体" w:hAnsi="宋体" w:cs="宋体"/>
              <w:bCs/>
              <w:sz w:val="24"/>
              <w:szCs w:val="24"/>
            </w:rPr>
            <w:t xml:space="preserve"> </w:t>
          </w:r>
          <w:r>
            <w:rPr>
              <w:rFonts w:hint="eastAsia" w:ascii="宋体" w:hAnsi="宋体" w:cs="宋体"/>
              <w:bCs/>
              <w:sz w:val="24"/>
              <w:szCs w:val="24"/>
            </w:rPr>
            <w:fldChar w:fldCharType="begin"/>
          </w:r>
          <w:r>
            <w:rPr>
              <w:rFonts w:hint="eastAsia" w:ascii="宋体" w:hAnsi="宋体" w:cs="宋体"/>
              <w:bCs/>
              <w:sz w:val="24"/>
              <w:szCs w:val="24"/>
            </w:rPr>
            <w:instrText xml:space="preserve"> PAGEREF _Toc383 \h </w:instrText>
          </w:r>
          <w:r>
            <w:rPr>
              <w:rFonts w:hint="eastAsia" w:ascii="宋体" w:hAnsi="宋体" w:cs="宋体"/>
              <w:bCs/>
              <w:sz w:val="24"/>
              <w:szCs w:val="24"/>
            </w:rPr>
            <w:fldChar w:fldCharType="separate"/>
          </w:r>
          <w:r>
            <w:rPr>
              <w:rFonts w:hint="eastAsia" w:ascii="宋体" w:hAnsi="宋体" w:cs="宋体"/>
              <w:bCs/>
              <w:sz w:val="24"/>
              <w:szCs w:val="24"/>
            </w:rPr>
            <w:t>2</w:t>
          </w:r>
          <w:r>
            <w:rPr>
              <w:rFonts w:hint="eastAsia" w:ascii="宋体" w:hAnsi="宋体" w:cs="宋体"/>
              <w:bCs/>
              <w:sz w:val="24"/>
              <w:szCs w:val="24"/>
            </w:rPr>
            <w:fldChar w:fldCharType="end"/>
          </w:r>
          <w:r>
            <w:rPr>
              <w:rFonts w:hint="eastAsia" w:ascii="宋体" w:hAnsi="宋体" w:cs="宋体"/>
              <w:bCs/>
              <w:sz w:val="24"/>
              <w:szCs w:val="24"/>
            </w:rPr>
            <w:fldChar w:fldCharType="end"/>
          </w:r>
        </w:p>
        <w:p>
          <w:pPr>
            <w:pStyle w:val="37"/>
            <w:tabs>
              <w:tab w:val="right" w:leader="dot" w:pos="8306"/>
            </w:tabs>
            <w:ind w:left="420"/>
            <w:rPr>
              <w:rFonts w:ascii="宋体" w:hAnsi="宋体" w:cs="宋体"/>
              <w:bCs/>
              <w:sz w:val="24"/>
              <w:szCs w:val="24"/>
            </w:rPr>
          </w:pPr>
          <w:r>
            <w:fldChar w:fldCharType="begin"/>
          </w:r>
          <w:r>
            <w:instrText xml:space="preserve"> HYPERLINK \l "_Toc29169" </w:instrText>
          </w:r>
          <w:r>
            <w:fldChar w:fldCharType="separate"/>
          </w:r>
          <w:r>
            <w:rPr>
              <w:rFonts w:hint="eastAsia" w:ascii="宋体" w:hAnsi="宋体" w:cs="宋体"/>
              <w:bCs/>
              <w:sz w:val="24"/>
              <w:szCs w:val="24"/>
            </w:rPr>
            <w:t>一、 主要职责</w:t>
          </w:r>
          <w:r>
            <w:rPr>
              <w:rFonts w:hint="eastAsia" w:ascii="宋体" w:hAnsi="宋体" w:cs="宋体"/>
              <w:bCs/>
              <w:sz w:val="24"/>
              <w:szCs w:val="24"/>
            </w:rPr>
            <w:tab/>
          </w:r>
          <w:r>
            <w:rPr>
              <w:rFonts w:hint="eastAsia" w:ascii="宋体" w:hAnsi="宋体" w:cs="宋体"/>
              <w:bCs/>
              <w:sz w:val="24"/>
              <w:szCs w:val="24"/>
            </w:rPr>
            <w:t>2</w:t>
          </w:r>
          <w:r>
            <w:rPr>
              <w:rFonts w:hint="eastAsia" w:ascii="宋体" w:hAnsi="宋体" w:cs="宋体"/>
              <w:bCs/>
              <w:sz w:val="24"/>
              <w:szCs w:val="24"/>
            </w:rPr>
            <w:fldChar w:fldCharType="end"/>
          </w:r>
        </w:p>
        <w:p>
          <w:pPr>
            <w:pStyle w:val="37"/>
            <w:tabs>
              <w:tab w:val="right" w:leader="dot" w:pos="8306"/>
            </w:tabs>
            <w:ind w:left="420"/>
            <w:jc w:val="right"/>
            <w:rPr>
              <w:rFonts w:ascii="宋体" w:hAnsi="宋体" w:cs="宋体"/>
              <w:bCs/>
              <w:sz w:val="24"/>
              <w:szCs w:val="24"/>
            </w:rPr>
          </w:pPr>
          <w:r>
            <w:fldChar w:fldCharType="begin"/>
          </w:r>
          <w:r>
            <w:instrText xml:space="preserve"> HYPERLINK \l "_Toc15592" </w:instrText>
          </w:r>
          <w:r>
            <w:fldChar w:fldCharType="separate"/>
          </w:r>
          <w:r>
            <w:rPr>
              <w:rFonts w:hint="eastAsia" w:ascii="宋体" w:hAnsi="宋体" w:cs="宋体"/>
              <w:bCs/>
              <w:sz w:val="24"/>
              <w:szCs w:val="24"/>
            </w:rPr>
            <w:t>二、机构设置</w:t>
          </w:r>
          <w:r>
            <w:rPr>
              <w:rFonts w:hint="eastAsia" w:ascii="宋体" w:hAnsi="宋体" w:cs="宋体"/>
              <w:bCs/>
              <w:sz w:val="24"/>
              <w:szCs w:val="24"/>
            </w:rPr>
            <w:tab/>
          </w:r>
          <w:r>
            <w:rPr>
              <w:rFonts w:hint="eastAsia" w:ascii="宋体" w:hAnsi="宋体" w:cs="宋体"/>
              <w:bCs/>
              <w:sz w:val="24"/>
              <w:szCs w:val="24"/>
            </w:rPr>
            <w:t>2</w:t>
          </w:r>
          <w:r>
            <w:rPr>
              <w:rFonts w:hint="eastAsia" w:ascii="宋体" w:hAnsi="宋体" w:cs="宋体"/>
              <w:bCs/>
              <w:sz w:val="24"/>
              <w:szCs w:val="24"/>
            </w:rPr>
            <w:fldChar w:fldCharType="end"/>
          </w:r>
        </w:p>
        <w:p>
          <w:pPr>
            <w:pStyle w:val="36"/>
            <w:tabs>
              <w:tab w:val="right" w:leader="dot" w:pos="8306"/>
            </w:tabs>
            <w:rPr>
              <w:rFonts w:ascii="宋体" w:hAnsi="宋体" w:cs="宋体"/>
              <w:bCs/>
              <w:sz w:val="24"/>
              <w:szCs w:val="24"/>
            </w:rPr>
          </w:pPr>
          <w:r>
            <w:fldChar w:fldCharType="begin"/>
          </w:r>
          <w:r>
            <w:instrText xml:space="preserve"> HYPERLINK \l "_Toc5450" </w:instrText>
          </w:r>
          <w:r>
            <w:fldChar w:fldCharType="separate"/>
          </w:r>
          <w:r>
            <w:rPr>
              <w:rFonts w:hint="eastAsia" w:ascii="宋体" w:hAnsi="宋体" w:cs="宋体"/>
              <w:bCs/>
              <w:sz w:val="24"/>
              <w:szCs w:val="24"/>
            </w:rPr>
            <w:t>第二部分 2024年度单位决算情况说明</w:t>
          </w:r>
          <w:r>
            <w:rPr>
              <w:rFonts w:hint="eastAsia" w:ascii="宋体" w:hAnsi="宋体" w:cs="宋体"/>
              <w:bCs/>
              <w:sz w:val="24"/>
              <w:szCs w:val="24"/>
            </w:rPr>
            <w:tab/>
          </w:r>
          <w:r>
            <w:rPr>
              <w:rFonts w:hint="eastAsia" w:ascii="宋体" w:hAnsi="宋体" w:cs="宋体"/>
              <w:bCs/>
              <w:sz w:val="24"/>
              <w:szCs w:val="24"/>
            </w:rPr>
            <w:fldChar w:fldCharType="begin"/>
          </w:r>
          <w:r>
            <w:rPr>
              <w:rFonts w:hint="eastAsia" w:ascii="宋体" w:hAnsi="宋体" w:cs="宋体"/>
              <w:bCs/>
              <w:sz w:val="24"/>
              <w:szCs w:val="24"/>
            </w:rPr>
            <w:instrText xml:space="preserve"> PAGEREF _Toc5450 \h </w:instrText>
          </w:r>
          <w:r>
            <w:rPr>
              <w:rFonts w:hint="eastAsia" w:ascii="宋体" w:hAnsi="宋体" w:cs="宋体"/>
              <w:bCs/>
              <w:sz w:val="24"/>
              <w:szCs w:val="24"/>
            </w:rPr>
            <w:fldChar w:fldCharType="separate"/>
          </w:r>
          <w:r>
            <w:rPr>
              <w:rFonts w:hint="eastAsia" w:ascii="宋体" w:hAnsi="宋体" w:cs="宋体"/>
              <w:bCs/>
              <w:sz w:val="24"/>
              <w:szCs w:val="24"/>
            </w:rPr>
            <w:t>3</w:t>
          </w:r>
          <w:r>
            <w:rPr>
              <w:rFonts w:hint="eastAsia" w:ascii="宋体" w:hAnsi="宋体" w:cs="宋体"/>
              <w:bCs/>
              <w:sz w:val="24"/>
              <w:szCs w:val="24"/>
            </w:rPr>
            <w:fldChar w:fldCharType="end"/>
          </w:r>
          <w:r>
            <w:rPr>
              <w:rFonts w:hint="eastAsia" w:ascii="宋体" w:hAnsi="宋体" w:cs="宋体"/>
              <w:bCs/>
              <w:sz w:val="24"/>
              <w:szCs w:val="24"/>
            </w:rPr>
            <w:fldChar w:fldCharType="end"/>
          </w:r>
        </w:p>
        <w:p>
          <w:pPr>
            <w:pStyle w:val="37"/>
            <w:tabs>
              <w:tab w:val="right" w:leader="dot" w:pos="8306"/>
            </w:tabs>
            <w:ind w:left="420"/>
            <w:rPr>
              <w:rFonts w:ascii="宋体" w:hAnsi="宋体" w:cs="宋体"/>
              <w:bCs/>
              <w:sz w:val="24"/>
              <w:szCs w:val="24"/>
            </w:rPr>
          </w:pPr>
          <w:r>
            <w:fldChar w:fldCharType="begin"/>
          </w:r>
          <w:r>
            <w:instrText xml:space="preserve"> HYPERLINK \l "_Toc30145" </w:instrText>
          </w:r>
          <w:r>
            <w:fldChar w:fldCharType="separate"/>
          </w:r>
          <w:r>
            <w:rPr>
              <w:rFonts w:hint="eastAsia" w:ascii="宋体" w:hAnsi="宋体" w:cs="宋体"/>
              <w:bCs/>
              <w:sz w:val="24"/>
              <w:szCs w:val="24"/>
            </w:rPr>
            <w:t>一、 收入支出决算总体情况说明</w:t>
          </w:r>
          <w:r>
            <w:rPr>
              <w:rFonts w:hint="eastAsia" w:ascii="宋体" w:hAnsi="宋体" w:cs="宋体"/>
              <w:bCs/>
              <w:sz w:val="24"/>
              <w:szCs w:val="24"/>
            </w:rPr>
            <w:tab/>
          </w:r>
          <w:r>
            <w:rPr>
              <w:rFonts w:hint="eastAsia" w:ascii="宋体" w:hAnsi="宋体" w:cs="宋体"/>
              <w:bCs/>
              <w:sz w:val="24"/>
              <w:szCs w:val="24"/>
            </w:rPr>
            <w:fldChar w:fldCharType="begin"/>
          </w:r>
          <w:r>
            <w:rPr>
              <w:rFonts w:hint="eastAsia" w:ascii="宋体" w:hAnsi="宋体" w:cs="宋体"/>
              <w:bCs/>
              <w:sz w:val="24"/>
              <w:szCs w:val="24"/>
            </w:rPr>
            <w:instrText xml:space="preserve"> PAGEREF _Toc30145 \h </w:instrText>
          </w:r>
          <w:r>
            <w:rPr>
              <w:rFonts w:hint="eastAsia" w:ascii="宋体" w:hAnsi="宋体" w:cs="宋体"/>
              <w:bCs/>
              <w:sz w:val="24"/>
              <w:szCs w:val="24"/>
            </w:rPr>
            <w:fldChar w:fldCharType="separate"/>
          </w:r>
          <w:r>
            <w:rPr>
              <w:rFonts w:hint="eastAsia" w:ascii="宋体" w:hAnsi="宋体" w:cs="宋体"/>
              <w:bCs/>
              <w:sz w:val="24"/>
              <w:szCs w:val="24"/>
            </w:rPr>
            <w:t>3</w:t>
          </w:r>
          <w:r>
            <w:rPr>
              <w:rFonts w:hint="eastAsia" w:ascii="宋体" w:hAnsi="宋体" w:cs="宋体"/>
              <w:bCs/>
              <w:sz w:val="24"/>
              <w:szCs w:val="24"/>
            </w:rPr>
            <w:fldChar w:fldCharType="end"/>
          </w:r>
          <w:r>
            <w:rPr>
              <w:rFonts w:hint="eastAsia" w:ascii="宋体" w:hAnsi="宋体" w:cs="宋体"/>
              <w:bCs/>
              <w:sz w:val="24"/>
              <w:szCs w:val="24"/>
            </w:rPr>
            <w:fldChar w:fldCharType="end"/>
          </w:r>
        </w:p>
        <w:p>
          <w:pPr>
            <w:pStyle w:val="37"/>
            <w:tabs>
              <w:tab w:val="right" w:leader="dot" w:pos="8306"/>
            </w:tabs>
            <w:ind w:left="420"/>
            <w:rPr>
              <w:rFonts w:ascii="宋体" w:hAnsi="宋体" w:cs="宋体"/>
              <w:bCs/>
              <w:sz w:val="24"/>
              <w:szCs w:val="24"/>
            </w:rPr>
          </w:pPr>
          <w:r>
            <w:fldChar w:fldCharType="begin"/>
          </w:r>
          <w:r>
            <w:instrText xml:space="preserve"> HYPERLINK \l "_Toc5942" </w:instrText>
          </w:r>
          <w:r>
            <w:fldChar w:fldCharType="separate"/>
          </w:r>
          <w:r>
            <w:rPr>
              <w:rFonts w:hint="eastAsia" w:ascii="宋体" w:hAnsi="宋体" w:cs="宋体"/>
              <w:bCs/>
              <w:sz w:val="24"/>
              <w:szCs w:val="24"/>
            </w:rPr>
            <w:t>二、 收入决算情况说明</w:t>
          </w:r>
          <w:r>
            <w:rPr>
              <w:rFonts w:hint="eastAsia" w:ascii="宋体" w:hAnsi="宋体" w:cs="宋体"/>
              <w:bCs/>
              <w:sz w:val="24"/>
              <w:szCs w:val="24"/>
            </w:rPr>
            <w:tab/>
          </w:r>
          <w:r>
            <w:rPr>
              <w:rFonts w:hint="eastAsia" w:ascii="宋体" w:hAnsi="宋体" w:cs="宋体"/>
              <w:bCs/>
              <w:sz w:val="24"/>
              <w:szCs w:val="24"/>
            </w:rPr>
            <w:fldChar w:fldCharType="begin"/>
          </w:r>
          <w:r>
            <w:rPr>
              <w:rFonts w:hint="eastAsia" w:ascii="宋体" w:hAnsi="宋体" w:cs="宋体"/>
              <w:bCs/>
              <w:sz w:val="24"/>
              <w:szCs w:val="24"/>
            </w:rPr>
            <w:instrText xml:space="preserve"> PAGEREF _Toc5942 \h </w:instrText>
          </w:r>
          <w:r>
            <w:rPr>
              <w:rFonts w:hint="eastAsia" w:ascii="宋体" w:hAnsi="宋体" w:cs="宋体"/>
              <w:bCs/>
              <w:sz w:val="24"/>
              <w:szCs w:val="24"/>
            </w:rPr>
            <w:fldChar w:fldCharType="separate"/>
          </w:r>
          <w:r>
            <w:rPr>
              <w:rFonts w:hint="eastAsia" w:ascii="宋体" w:hAnsi="宋体" w:cs="宋体"/>
              <w:bCs/>
              <w:sz w:val="24"/>
              <w:szCs w:val="24"/>
            </w:rPr>
            <w:t>3</w:t>
          </w:r>
          <w:r>
            <w:rPr>
              <w:rFonts w:hint="eastAsia" w:ascii="宋体" w:hAnsi="宋体" w:cs="宋体"/>
              <w:bCs/>
              <w:sz w:val="24"/>
              <w:szCs w:val="24"/>
            </w:rPr>
            <w:fldChar w:fldCharType="end"/>
          </w:r>
          <w:r>
            <w:rPr>
              <w:rFonts w:hint="eastAsia" w:ascii="宋体" w:hAnsi="宋体" w:cs="宋体"/>
              <w:bCs/>
              <w:sz w:val="24"/>
              <w:szCs w:val="24"/>
            </w:rPr>
            <w:fldChar w:fldCharType="end"/>
          </w:r>
        </w:p>
        <w:p>
          <w:pPr>
            <w:pStyle w:val="37"/>
            <w:tabs>
              <w:tab w:val="right" w:leader="dot" w:pos="8306"/>
            </w:tabs>
            <w:ind w:left="420"/>
            <w:rPr>
              <w:rFonts w:ascii="宋体" w:hAnsi="宋体" w:cs="宋体"/>
              <w:bCs/>
              <w:sz w:val="24"/>
              <w:szCs w:val="24"/>
            </w:rPr>
          </w:pPr>
          <w:r>
            <w:fldChar w:fldCharType="begin"/>
          </w:r>
          <w:r>
            <w:instrText xml:space="preserve"> HYPERLINK \l "_Toc1841" </w:instrText>
          </w:r>
          <w:r>
            <w:fldChar w:fldCharType="separate"/>
          </w:r>
          <w:r>
            <w:rPr>
              <w:rFonts w:hint="eastAsia" w:ascii="宋体" w:hAnsi="宋体" w:cs="宋体"/>
              <w:bCs/>
              <w:sz w:val="24"/>
              <w:szCs w:val="24"/>
            </w:rPr>
            <w:t>三、 支出决算情况说明</w:t>
          </w:r>
          <w:r>
            <w:rPr>
              <w:rFonts w:hint="eastAsia" w:ascii="宋体" w:hAnsi="宋体" w:cs="宋体"/>
              <w:bCs/>
              <w:sz w:val="24"/>
              <w:szCs w:val="24"/>
            </w:rPr>
            <w:tab/>
          </w:r>
          <w:r>
            <w:rPr>
              <w:rFonts w:hint="eastAsia" w:ascii="宋体" w:hAnsi="宋体" w:cs="宋体"/>
              <w:bCs/>
              <w:sz w:val="24"/>
              <w:szCs w:val="24"/>
            </w:rPr>
            <w:fldChar w:fldCharType="begin"/>
          </w:r>
          <w:r>
            <w:rPr>
              <w:rFonts w:hint="eastAsia" w:ascii="宋体" w:hAnsi="宋体" w:cs="宋体"/>
              <w:bCs/>
              <w:sz w:val="24"/>
              <w:szCs w:val="24"/>
            </w:rPr>
            <w:instrText xml:space="preserve"> PAGEREF _Toc1841 \h </w:instrText>
          </w:r>
          <w:r>
            <w:rPr>
              <w:rFonts w:hint="eastAsia" w:ascii="宋体" w:hAnsi="宋体" w:cs="宋体"/>
              <w:bCs/>
              <w:sz w:val="24"/>
              <w:szCs w:val="24"/>
            </w:rPr>
            <w:fldChar w:fldCharType="separate"/>
          </w:r>
          <w:r>
            <w:rPr>
              <w:rFonts w:hint="eastAsia" w:ascii="宋体" w:hAnsi="宋体" w:cs="宋体"/>
              <w:bCs/>
              <w:sz w:val="24"/>
              <w:szCs w:val="24"/>
            </w:rPr>
            <w:t>4</w:t>
          </w:r>
          <w:r>
            <w:rPr>
              <w:rFonts w:hint="eastAsia" w:ascii="宋体" w:hAnsi="宋体" w:cs="宋体"/>
              <w:bCs/>
              <w:sz w:val="24"/>
              <w:szCs w:val="24"/>
            </w:rPr>
            <w:fldChar w:fldCharType="end"/>
          </w:r>
          <w:r>
            <w:rPr>
              <w:rFonts w:hint="eastAsia" w:ascii="宋体" w:hAnsi="宋体" w:cs="宋体"/>
              <w:bCs/>
              <w:sz w:val="24"/>
              <w:szCs w:val="24"/>
            </w:rPr>
            <w:fldChar w:fldCharType="end"/>
          </w:r>
        </w:p>
        <w:p>
          <w:pPr>
            <w:pStyle w:val="37"/>
            <w:tabs>
              <w:tab w:val="right" w:leader="dot" w:pos="8306"/>
            </w:tabs>
            <w:ind w:left="420"/>
            <w:rPr>
              <w:rFonts w:ascii="宋体" w:hAnsi="宋体" w:cs="宋体"/>
              <w:bCs/>
              <w:sz w:val="24"/>
              <w:szCs w:val="24"/>
            </w:rPr>
          </w:pPr>
          <w:r>
            <w:fldChar w:fldCharType="begin"/>
          </w:r>
          <w:r>
            <w:instrText xml:space="preserve"> HYPERLINK \l "_Toc17997" </w:instrText>
          </w:r>
          <w:r>
            <w:fldChar w:fldCharType="separate"/>
          </w:r>
          <w:r>
            <w:rPr>
              <w:rFonts w:hint="eastAsia" w:ascii="宋体" w:hAnsi="宋体" w:cs="宋体"/>
              <w:bCs/>
              <w:sz w:val="24"/>
              <w:szCs w:val="24"/>
            </w:rPr>
            <w:t>四、财政拨款收入支出决算总体情况说明</w:t>
          </w:r>
          <w:r>
            <w:rPr>
              <w:rFonts w:hint="eastAsia" w:ascii="宋体" w:hAnsi="宋体" w:cs="宋体"/>
              <w:bCs/>
              <w:sz w:val="24"/>
              <w:szCs w:val="24"/>
            </w:rPr>
            <w:tab/>
          </w:r>
          <w:r>
            <w:rPr>
              <w:rFonts w:hint="eastAsia" w:ascii="宋体" w:hAnsi="宋体" w:cs="宋体"/>
              <w:bCs/>
              <w:sz w:val="24"/>
              <w:szCs w:val="24"/>
            </w:rPr>
            <w:fldChar w:fldCharType="begin"/>
          </w:r>
          <w:r>
            <w:rPr>
              <w:rFonts w:hint="eastAsia" w:ascii="宋体" w:hAnsi="宋体" w:cs="宋体"/>
              <w:bCs/>
              <w:sz w:val="24"/>
              <w:szCs w:val="24"/>
            </w:rPr>
            <w:instrText xml:space="preserve"> PAGEREF _Toc17997 \h </w:instrText>
          </w:r>
          <w:r>
            <w:rPr>
              <w:rFonts w:hint="eastAsia" w:ascii="宋体" w:hAnsi="宋体" w:cs="宋体"/>
              <w:bCs/>
              <w:sz w:val="24"/>
              <w:szCs w:val="24"/>
            </w:rPr>
            <w:fldChar w:fldCharType="separate"/>
          </w:r>
          <w:r>
            <w:rPr>
              <w:rFonts w:hint="eastAsia" w:ascii="宋体" w:hAnsi="宋体" w:cs="宋体"/>
              <w:bCs/>
              <w:sz w:val="24"/>
              <w:szCs w:val="24"/>
            </w:rPr>
            <w:t>5</w:t>
          </w:r>
          <w:r>
            <w:rPr>
              <w:rFonts w:hint="eastAsia" w:ascii="宋体" w:hAnsi="宋体" w:cs="宋体"/>
              <w:bCs/>
              <w:sz w:val="24"/>
              <w:szCs w:val="24"/>
            </w:rPr>
            <w:fldChar w:fldCharType="end"/>
          </w:r>
          <w:r>
            <w:rPr>
              <w:rFonts w:hint="eastAsia" w:ascii="宋体" w:hAnsi="宋体" w:cs="宋体"/>
              <w:bCs/>
              <w:sz w:val="24"/>
              <w:szCs w:val="24"/>
            </w:rPr>
            <w:fldChar w:fldCharType="end"/>
          </w:r>
        </w:p>
        <w:p>
          <w:pPr>
            <w:pStyle w:val="37"/>
            <w:tabs>
              <w:tab w:val="right" w:leader="dot" w:pos="8306"/>
            </w:tabs>
            <w:ind w:left="420"/>
            <w:rPr>
              <w:rFonts w:ascii="宋体" w:hAnsi="宋体" w:cs="宋体"/>
              <w:bCs/>
              <w:sz w:val="24"/>
              <w:szCs w:val="24"/>
            </w:rPr>
          </w:pPr>
          <w:r>
            <w:fldChar w:fldCharType="begin"/>
          </w:r>
          <w:r>
            <w:instrText xml:space="preserve"> HYPERLINK \l "_Toc6373" </w:instrText>
          </w:r>
          <w:r>
            <w:fldChar w:fldCharType="separate"/>
          </w:r>
          <w:r>
            <w:rPr>
              <w:rFonts w:hint="eastAsia" w:ascii="宋体" w:hAnsi="宋体" w:cs="宋体"/>
              <w:bCs/>
              <w:sz w:val="24"/>
              <w:szCs w:val="24"/>
            </w:rPr>
            <w:t>五、一般公共预算财政拨款支出决算情况说明</w:t>
          </w:r>
          <w:r>
            <w:rPr>
              <w:rFonts w:hint="eastAsia" w:ascii="宋体" w:hAnsi="宋体" w:cs="宋体"/>
              <w:bCs/>
              <w:sz w:val="24"/>
              <w:szCs w:val="24"/>
            </w:rPr>
            <w:tab/>
          </w:r>
          <w:r>
            <w:rPr>
              <w:rFonts w:hint="eastAsia" w:ascii="宋体" w:hAnsi="宋体" w:cs="宋体"/>
              <w:bCs/>
              <w:sz w:val="24"/>
              <w:szCs w:val="24"/>
            </w:rPr>
            <w:fldChar w:fldCharType="begin"/>
          </w:r>
          <w:r>
            <w:rPr>
              <w:rFonts w:hint="eastAsia" w:ascii="宋体" w:hAnsi="宋体" w:cs="宋体"/>
              <w:bCs/>
              <w:sz w:val="24"/>
              <w:szCs w:val="24"/>
            </w:rPr>
            <w:instrText xml:space="preserve"> PAGEREF _Toc6373 \h </w:instrText>
          </w:r>
          <w:r>
            <w:rPr>
              <w:rFonts w:hint="eastAsia" w:ascii="宋体" w:hAnsi="宋体" w:cs="宋体"/>
              <w:bCs/>
              <w:sz w:val="24"/>
              <w:szCs w:val="24"/>
            </w:rPr>
            <w:fldChar w:fldCharType="separate"/>
          </w:r>
          <w:r>
            <w:rPr>
              <w:rFonts w:hint="eastAsia" w:ascii="宋体" w:hAnsi="宋体" w:cs="宋体"/>
              <w:bCs/>
              <w:sz w:val="24"/>
              <w:szCs w:val="24"/>
            </w:rPr>
            <w:t>5</w:t>
          </w:r>
          <w:r>
            <w:rPr>
              <w:rFonts w:hint="eastAsia" w:ascii="宋体" w:hAnsi="宋体" w:cs="宋体"/>
              <w:bCs/>
              <w:sz w:val="24"/>
              <w:szCs w:val="24"/>
            </w:rPr>
            <w:fldChar w:fldCharType="end"/>
          </w:r>
          <w:r>
            <w:rPr>
              <w:rFonts w:hint="eastAsia" w:ascii="宋体" w:hAnsi="宋体" w:cs="宋体"/>
              <w:bCs/>
              <w:sz w:val="24"/>
              <w:szCs w:val="24"/>
            </w:rPr>
            <w:fldChar w:fldCharType="end"/>
          </w:r>
        </w:p>
        <w:p>
          <w:pPr>
            <w:pStyle w:val="37"/>
            <w:tabs>
              <w:tab w:val="right" w:leader="dot" w:pos="8306"/>
            </w:tabs>
            <w:ind w:left="420"/>
            <w:rPr>
              <w:rFonts w:ascii="宋体" w:hAnsi="宋体" w:cs="宋体"/>
              <w:bCs/>
              <w:sz w:val="24"/>
              <w:szCs w:val="24"/>
            </w:rPr>
          </w:pPr>
          <w:r>
            <w:fldChar w:fldCharType="begin"/>
          </w:r>
          <w:r>
            <w:instrText xml:space="preserve"> HYPERLINK \l "_Toc17449" </w:instrText>
          </w:r>
          <w:r>
            <w:fldChar w:fldCharType="separate"/>
          </w:r>
          <w:r>
            <w:rPr>
              <w:rFonts w:hint="eastAsia" w:ascii="宋体" w:hAnsi="宋体" w:cs="宋体"/>
              <w:bCs/>
              <w:sz w:val="24"/>
              <w:szCs w:val="24"/>
            </w:rPr>
            <w:t>六、一般公共预算财政拨款基本支出决算情况说明</w:t>
          </w:r>
          <w:r>
            <w:rPr>
              <w:rFonts w:hint="eastAsia" w:ascii="宋体" w:hAnsi="宋体" w:cs="宋体"/>
              <w:bCs/>
              <w:sz w:val="24"/>
              <w:szCs w:val="24"/>
            </w:rPr>
            <w:tab/>
          </w:r>
          <w:r>
            <w:rPr>
              <w:rFonts w:hint="eastAsia" w:ascii="宋体" w:hAnsi="宋体" w:cs="宋体"/>
              <w:bCs/>
              <w:sz w:val="24"/>
              <w:szCs w:val="24"/>
            </w:rPr>
            <w:t>8</w:t>
          </w:r>
          <w:r>
            <w:rPr>
              <w:rFonts w:hint="eastAsia" w:ascii="宋体" w:hAnsi="宋体" w:cs="宋体"/>
              <w:bCs/>
              <w:sz w:val="24"/>
              <w:szCs w:val="24"/>
            </w:rPr>
            <w:fldChar w:fldCharType="end"/>
          </w:r>
        </w:p>
        <w:p>
          <w:pPr>
            <w:pStyle w:val="37"/>
            <w:tabs>
              <w:tab w:val="right" w:leader="dot" w:pos="8306"/>
            </w:tabs>
            <w:ind w:left="420"/>
            <w:rPr>
              <w:rFonts w:ascii="宋体" w:hAnsi="宋体" w:cs="宋体"/>
              <w:bCs/>
              <w:sz w:val="24"/>
              <w:szCs w:val="24"/>
            </w:rPr>
          </w:pPr>
          <w:r>
            <w:fldChar w:fldCharType="begin"/>
          </w:r>
          <w:r>
            <w:instrText xml:space="preserve"> HYPERLINK \l "_Toc22820" </w:instrText>
          </w:r>
          <w:r>
            <w:fldChar w:fldCharType="separate"/>
          </w:r>
          <w:r>
            <w:rPr>
              <w:rFonts w:hint="eastAsia" w:ascii="宋体" w:hAnsi="宋体" w:cs="宋体"/>
              <w:bCs/>
              <w:sz w:val="24"/>
              <w:szCs w:val="24"/>
            </w:rPr>
            <w:t>七、财政拨款“三公”经费支出决算情况说明</w:t>
          </w:r>
          <w:r>
            <w:rPr>
              <w:rFonts w:hint="eastAsia" w:ascii="宋体" w:hAnsi="宋体" w:cs="宋体"/>
              <w:bCs/>
              <w:sz w:val="24"/>
              <w:szCs w:val="24"/>
            </w:rPr>
            <w:tab/>
          </w:r>
          <w:r>
            <w:rPr>
              <w:rFonts w:hint="eastAsia" w:ascii="宋体" w:hAnsi="宋体" w:cs="宋体"/>
              <w:bCs/>
              <w:sz w:val="24"/>
              <w:szCs w:val="24"/>
            </w:rPr>
            <w:t>8</w:t>
          </w:r>
          <w:r>
            <w:rPr>
              <w:rFonts w:hint="eastAsia" w:ascii="宋体" w:hAnsi="宋体" w:cs="宋体"/>
              <w:bCs/>
              <w:sz w:val="24"/>
              <w:szCs w:val="24"/>
            </w:rPr>
            <w:fldChar w:fldCharType="end"/>
          </w:r>
        </w:p>
        <w:p>
          <w:pPr>
            <w:pStyle w:val="37"/>
            <w:tabs>
              <w:tab w:val="right" w:leader="dot" w:pos="8306"/>
            </w:tabs>
            <w:ind w:left="420"/>
            <w:rPr>
              <w:rFonts w:ascii="宋体" w:hAnsi="宋体" w:cs="宋体"/>
              <w:bCs/>
              <w:sz w:val="24"/>
              <w:szCs w:val="24"/>
            </w:rPr>
          </w:pPr>
          <w:r>
            <w:fldChar w:fldCharType="begin"/>
          </w:r>
          <w:r>
            <w:instrText xml:space="preserve"> HYPERLINK \l "_Toc8741" </w:instrText>
          </w:r>
          <w:r>
            <w:fldChar w:fldCharType="separate"/>
          </w:r>
          <w:r>
            <w:rPr>
              <w:rFonts w:hint="eastAsia" w:ascii="宋体" w:hAnsi="宋体" w:cs="宋体"/>
              <w:bCs/>
              <w:sz w:val="24"/>
              <w:szCs w:val="24"/>
            </w:rPr>
            <w:t>八、政府性基金预算支出决算情况说明</w:t>
          </w:r>
          <w:r>
            <w:rPr>
              <w:rFonts w:hint="eastAsia" w:ascii="宋体" w:hAnsi="宋体" w:cs="宋体"/>
              <w:bCs/>
              <w:sz w:val="24"/>
              <w:szCs w:val="24"/>
            </w:rPr>
            <w:tab/>
          </w:r>
          <w:r>
            <w:rPr>
              <w:rFonts w:hint="eastAsia" w:ascii="宋体" w:hAnsi="宋体" w:cs="宋体"/>
              <w:bCs/>
              <w:sz w:val="24"/>
              <w:szCs w:val="24"/>
            </w:rPr>
            <w:t>1</w:t>
          </w:r>
          <w:r>
            <w:rPr>
              <w:rFonts w:hint="eastAsia" w:ascii="宋体" w:hAnsi="宋体" w:cs="宋体"/>
              <w:bCs/>
              <w:sz w:val="24"/>
              <w:szCs w:val="24"/>
            </w:rPr>
            <w:fldChar w:fldCharType="end"/>
          </w:r>
          <w:r>
            <w:rPr>
              <w:rFonts w:hint="eastAsia" w:ascii="宋体" w:hAnsi="宋体" w:cs="宋体"/>
              <w:bCs/>
              <w:sz w:val="24"/>
              <w:szCs w:val="24"/>
            </w:rPr>
            <w:t>0</w:t>
          </w:r>
        </w:p>
        <w:p>
          <w:pPr>
            <w:pStyle w:val="37"/>
            <w:tabs>
              <w:tab w:val="right" w:leader="dot" w:pos="8306"/>
            </w:tabs>
            <w:ind w:left="420"/>
            <w:rPr>
              <w:rFonts w:ascii="宋体" w:hAnsi="宋体" w:cs="宋体"/>
              <w:bCs/>
              <w:sz w:val="24"/>
              <w:szCs w:val="24"/>
            </w:rPr>
          </w:pPr>
          <w:r>
            <w:fldChar w:fldCharType="begin"/>
          </w:r>
          <w:r>
            <w:instrText xml:space="preserve"> HYPERLINK \l "_Toc1314" </w:instrText>
          </w:r>
          <w:r>
            <w:fldChar w:fldCharType="separate"/>
          </w:r>
          <w:r>
            <w:rPr>
              <w:rFonts w:hint="eastAsia" w:ascii="宋体" w:hAnsi="宋体" w:cs="宋体"/>
              <w:bCs/>
              <w:sz w:val="24"/>
              <w:szCs w:val="24"/>
            </w:rPr>
            <w:t>九、 国有资本经营预算支出决算情况说明</w:t>
          </w:r>
          <w:r>
            <w:rPr>
              <w:rFonts w:hint="eastAsia" w:ascii="宋体" w:hAnsi="宋体" w:cs="宋体"/>
              <w:bCs/>
              <w:sz w:val="24"/>
              <w:szCs w:val="24"/>
            </w:rPr>
            <w:tab/>
          </w:r>
          <w:r>
            <w:rPr>
              <w:rFonts w:hint="eastAsia" w:ascii="宋体" w:hAnsi="宋体" w:cs="宋体"/>
              <w:bCs/>
              <w:sz w:val="24"/>
              <w:szCs w:val="24"/>
            </w:rPr>
            <w:t>1</w:t>
          </w:r>
          <w:r>
            <w:rPr>
              <w:rFonts w:hint="eastAsia" w:ascii="宋体" w:hAnsi="宋体" w:cs="宋体"/>
              <w:bCs/>
              <w:sz w:val="24"/>
              <w:szCs w:val="24"/>
            </w:rPr>
            <w:fldChar w:fldCharType="end"/>
          </w:r>
          <w:r>
            <w:rPr>
              <w:rFonts w:hint="eastAsia" w:ascii="宋体" w:hAnsi="宋体" w:cs="宋体"/>
              <w:bCs/>
              <w:sz w:val="24"/>
              <w:szCs w:val="24"/>
            </w:rPr>
            <w:t>0</w:t>
          </w:r>
        </w:p>
        <w:p>
          <w:pPr>
            <w:pStyle w:val="37"/>
            <w:tabs>
              <w:tab w:val="right" w:leader="dot" w:pos="8306"/>
            </w:tabs>
            <w:ind w:left="420"/>
            <w:rPr>
              <w:rFonts w:ascii="宋体" w:hAnsi="宋体" w:cs="宋体"/>
              <w:bCs/>
              <w:sz w:val="24"/>
              <w:szCs w:val="24"/>
            </w:rPr>
          </w:pPr>
          <w:r>
            <w:fldChar w:fldCharType="begin"/>
          </w:r>
          <w:r>
            <w:instrText xml:space="preserve"> HYPERLINK \l "_Toc5916" </w:instrText>
          </w:r>
          <w:r>
            <w:fldChar w:fldCharType="separate"/>
          </w:r>
          <w:r>
            <w:rPr>
              <w:rFonts w:hint="eastAsia" w:ascii="宋体" w:hAnsi="宋体" w:cs="宋体"/>
              <w:bCs/>
              <w:sz w:val="24"/>
              <w:szCs w:val="24"/>
            </w:rPr>
            <w:t>十、 其他重要事项的情况说明</w:t>
          </w:r>
          <w:r>
            <w:rPr>
              <w:rFonts w:hint="eastAsia" w:ascii="宋体" w:hAnsi="宋体" w:cs="宋体"/>
              <w:bCs/>
              <w:sz w:val="24"/>
              <w:szCs w:val="24"/>
            </w:rPr>
            <w:tab/>
          </w:r>
          <w:r>
            <w:rPr>
              <w:rFonts w:hint="eastAsia" w:ascii="宋体" w:hAnsi="宋体" w:cs="宋体"/>
              <w:bCs/>
              <w:sz w:val="24"/>
              <w:szCs w:val="24"/>
            </w:rPr>
            <w:t>1</w:t>
          </w:r>
          <w:r>
            <w:rPr>
              <w:rFonts w:hint="eastAsia" w:ascii="宋体" w:hAnsi="宋体" w:cs="宋体"/>
              <w:bCs/>
              <w:sz w:val="24"/>
              <w:szCs w:val="24"/>
            </w:rPr>
            <w:fldChar w:fldCharType="end"/>
          </w:r>
          <w:r>
            <w:rPr>
              <w:rFonts w:hint="eastAsia" w:ascii="宋体" w:hAnsi="宋体" w:cs="宋体"/>
              <w:bCs/>
              <w:sz w:val="24"/>
              <w:szCs w:val="24"/>
            </w:rPr>
            <w:t>0</w:t>
          </w:r>
        </w:p>
        <w:p>
          <w:pPr>
            <w:pStyle w:val="36"/>
            <w:tabs>
              <w:tab w:val="right" w:leader="dot" w:pos="8306"/>
            </w:tabs>
            <w:rPr>
              <w:rFonts w:ascii="宋体" w:hAnsi="宋体" w:cs="宋体"/>
              <w:bCs/>
              <w:sz w:val="24"/>
              <w:szCs w:val="24"/>
            </w:rPr>
          </w:pPr>
          <w:r>
            <w:fldChar w:fldCharType="begin"/>
          </w:r>
          <w:r>
            <w:instrText xml:space="preserve"> HYPERLINK \l "_Toc12747" </w:instrText>
          </w:r>
          <w:r>
            <w:fldChar w:fldCharType="separate"/>
          </w:r>
          <w:r>
            <w:rPr>
              <w:rFonts w:hint="eastAsia" w:ascii="宋体" w:hAnsi="宋体" w:cs="宋体"/>
              <w:bCs/>
              <w:sz w:val="24"/>
              <w:szCs w:val="24"/>
            </w:rPr>
            <w:t>第三部分 名词解释</w:t>
          </w:r>
          <w:r>
            <w:rPr>
              <w:rFonts w:hint="eastAsia" w:ascii="宋体" w:hAnsi="宋体" w:cs="宋体"/>
              <w:bCs/>
              <w:sz w:val="24"/>
              <w:szCs w:val="24"/>
            </w:rPr>
            <w:tab/>
          </w:r>
          <w:r>
            <w:rPr>
              <w:rFonts w:hint="eastAsia" w:ascii="宋体" w:hAnsi="宋体" w:cs="宋体"/>
              <w:bCs/>
              <w:sz w:val="24"/>
              <w:szCs w:val="24"/>
            </w:rPr>
            <w:t>1</w:t>
          </w:r>
          <w:r>
            <w:rPr>
              <w:rFonts w:hint="eastAsia" w:ascii="宋体" w:hAnsi="宋体" w:cs="宋体"/>
              <w:bCs/>
              <w:sz w:val="24"/>
              <w:szCs w:val="24"/>
            </w:rPr>
            <w:fldChar w:fldCharType="end"/>
          </w:r>
          <w:r>
            <w:rPr>
              <w:rFonts w:hint="eastAsia" w:ascii="宋体" w:hAnsi="宋体" w:cs="宋体"/>
              <w:bCs/>
              <w:sz w:val="24"/>
              <w:szCs w:val="24"/>
            </w:rPr>
            <w:t>1</w:t>
          </w:r>
        </w:p>
        <w:p>
          <w:pPr>
            <w:pStyle w:val="36"/>
            <w:tabs>
              <w:tab w:val="right" w:leader="dot" w:pos="8306"/>
            </w:tabs>
            <w:rPr>
              <w:rFonts w:ascii="宋体" w:hAnsi="宋体" w:cs="宋体"/>
              <w:bCs/>
              <w:sz w:val="24"/>
              <w:szCs w:val="24"/>
            </w:rPr>
          </w:pPr>
          <w:r>
            <w:fldChar w:fldCharType="begin"/>
          </w:r>
          <w:r>
            <w:instrText xml:space="preserve"> HYPERLINK \l "_Toc28032" </w:instrText>
          </w:r>
          <w:r>
            <w:fldChar w:fldCharType="separate"/>
          </w:r>
          <w:r>
            <w:rPr>
              <w:rFonts w:hint="eastAsia" w:ascii="宋体" w:hAnsi="宋体" w:cs="宋体"/>
              <w:bCs/>
              <w:sz w:val="24"/>
              <w:szCs w:val="24"/>
            </w:rPr>
            <w:t>第四部分 附件</w:t>
          </w:r>
          <w:r>
            <w:rPr>
              <w:rFonts w:hint="eastAsia" w:ascii="宋体" w:hAnsi="宋体" w:cs="宋体"/>
              <w:bCs/>
              <w:sz w:val="24"/>
              <w:szCs w:val="24"/>
            </w:rPr>
            <w:tab/>
          </w:r>
          <w:r>
            <w:rPr>
              <w:rFonts w:hint="eastAsia" w:ascii="宋体" w:hAnsi="宋体" w:cs="宋体"/>
              <w:bCs/>
              <w:sz w:val="24"/>
              <w:szCs w:val="24"/>
            </w:rPr>
            <w:t>1</w:t>
          </w:r>
          <w:r>
            <w:rPr>
              <w:rFonts w:hint="eastAsia" w:ascii="宋体" w:hAnsi="宋体" w:cs="宋体"/>
              <w:bCs/>
              <w:sz w:val="24"/>
              <w:szCs w:val="24"/>
            </w:rPr>
            <w:fldChar w:fldCharType="end"/>
          </w:r>
          <w:r>
            <w:rPr>
              <w:rFonts w:hint="eastAsia" w:ascii="宋体" w:hAnsi="宋体" w:cs="宋体"/>
              <w:bCs/>
              <w:sz w:val="24"/>
              <w:szCs w:val="24"/>
            </w:rPr>
            <w:t>4</w:t>
          </w:r>
        </w:p>
        <w:p>
          <w:pPr>
            <w:pStyle w:val="36"/>
            <w:tabs>
              <w:tab w:val="right" w:leader="dot" w:pos="8306"/>
            </w:tabs>
            <w:rPr>
              <w:rFonts w:hint="eastAsia" w:ascii="宋体" w:hAnsi="宋体" w:eastAsia="宋体" w:cs="宋体"/>
              <w:bCs/>
              <w:sz w:val="24"/>
              <w:szCs w:val="24"/>
              <w:lang w:val="en-US" w:eastAsia="zh-CN"/>
            </w:rPr>
          </w:pPr>
          <w:r>
            <w:fldChar w:fldCharType="begin"/>
          </w:r>
          <w:r>
            <w:instrText xml:space="preserve"> HYPERLINK \l "_Toc13651" </w:instrText>
          </w:r>
          <w:r>
            <w:fldChar w:fldCharType="separate"/>
          </w:r>
          <w:r>
            <w:rPr>
              <w:rFonts w:hint="eastAsia" w:ascii="宋体" w:hAnsi="宋体" w:cs="宋体"/>
              <w:bCs/>
              <w:sz w:val="24"/>
              <w:szCs w:val="24"/>
            </w:rPr>
            <w:t>第五部分 附表</w:t>
          </w:r>
          <w:r>
            <w:rPr>
              <w:rFonts w:hint="eastAsia" w:ascii="宋体" w:hAnsi="宋体" w:cs="宋体"/>
              <w:bCs/>
              <w:sz w:val="24"/>
              <w:szCs w:val="24"/>
            </w:rPr>
            <w:tab/>
          </w:r>
          <w:r>
            <w:rPr>
              <w:rFonts w:hint="eastAsia" w:ascii="宋体" w:hAnsi="宋体" w:cs="宋体"/>
              <w:bCs/>
              <w:sz w:val="24"/>
              <w:szCs w:val="24"/>
            </w:rPr>
            <w:fldChar w:fldCharType="end"/>
          </w:r>
          <w:r>
            <w:rPr>
              <w:rFonts w:hint="eastAsia" w:ascii="宋体" w:hAnsi="宋体" w:cs="宋体"/>
              <w:bCs/>
              <w:sz w:val="24"/>
              <w:szCs w:val="24"/>
            </w:rPr>
            <w:t>4</w:t>
          </w:r>
          <w:r>
            <w:rPr>
              <w:rFonts w:hint="eastAsia" w:ascii="宋体" w:hAnsi="宋体" w:cs="宋体"/>
              <w:bCs/>
              <w:sz w:val="24"/>
              <w:szCs w:val="24"/>
              <w:lang w:val="en-US" w:eastAsia="zh-CN"/>
            </w:rPr>
            <w:t>1</w:t>
          </w:r>
        </w:p>
        <w:p>
          <w:pPr>
            <w:pStyle w:val="37"/>
            <w:tabs>
              <w:tab w:val="right" w:leader="dot" w:pos="8306"/>
            </w:tabs>
            <w:ind w:left="420"/>
            <w:rPr>
              <w:rFonts w:hint="eastAsia" w:ascii="宋体" w:hAnsi="宋体" w:eastAsia="宋体" w:cs="宋体"/>
              <w:bCs/>
              <w:sz w:val="24"/>
              <w:szCs w:val="24"/>
              <w:lang w:eastAsia="zh-CN"/>
            </w:rPr>
          </w:pPr>
          <w:r>
            <w:fldChar w:fldCharType="begin"/>
          </w:r>
          <w:r>
            <w:instrText xml:space="preserve"> HYPERLINK \l "_Toc6282" </w:instrText>
          </w:r>
          <w:r>
            <w:fldChar w:fldCharType="separate"/>
          </w:r>
          <w:r>
            <w:rPr>
              <w:rFonts w:hint="eastAsia" w:ascii="宋体" w:hAnsi="宋体" w:cs="宋体"/>
              <w:bCs/>
              <w:sz w:val="24"/>
              <w:szCs w:val="24"/>
            </w:rPr>
            <w:t>一、收入支出决算总表</w:t>
          </w:r>
          <w:r>
            <w:rPr>
              <w:rFonts w:hint="eastAsia" w:ascii="宋体" w:hAnsi="宋体" w:cs="宋体"/>
              <w:bCs/>
              <w:sz w:val="24"/>
              <w:szCs w:val="24"/>
            </w:rPr>
            <w:tab/>
          </w:r>
          <w:r>
            <w:rPr>
              <w:rFonts w:hint="eastAsia" w:ascii="宋体" w:hAnsi="宋体" w:cs="宋体"/>
              <w:bCs/>
              <w:sz w:val="24"/>
              <w:szCs w:val="24"/>
            </w:rPr>
            <w:fldChar w:fldCharType="end"/>
          </w:r>
          <w:r>
            <w:rPr>
              <w:rFonts w:hint="eastAsia" w:ascii="宋体" w:hAnsi="宋体" w:cs="宋体"/>
              <w:bCs/>
              <w:sz w:val="24"/>
              <w:szCs w:val="24"/>
            </w:rPr>
            <w:t>4</w:t>
          </w:r>
          <w:r>
            <w:rPr>
              <w:rFonts w:hint="eastAsia" w:ascii="宋体" w:hAnsi="宋体" w:cs="宋体"/>
              <w:bCs/>
              <w:sz w:val="24"/>
              <w:szCs w:val="24"/>
              <w:lang w:val="en-US" w:eastAsia="zh-CN"/>
            </w:rPr>
            <w:t>1</w:t>
          </w:r>
        </w:p>
        <w:p>
          <w:pPr>
            <w:pStyle w:val="37"/>
            <w:tabs>
              <w:tab w:val="right" w:leader="dot" w:pos="8306"/>
            </w:tabs>
            <w:ind w:left="420"/>
            <w:rPr>
              <w:rFonts w:hint="eastAsia" w:ascii="宋体" w:hAnsi="宋体" w:eastAsia="宋体" w:cs="宋体"/>
              <w:bCs/>
              <w:sz w:val="24"/>
              <w:szCs w:val="24"/>
              <w:lang w:eastAsia="zh-CN"/>
            </w:rPr>
          </w:pPr>
          <w:r>
            <w:fldChar w:fldCharType="begin"/>
          </w:r>
          <w:r>
            <w:instrText xml:space="preserve"> HYPERLINK \l "_Toc18533" </w:instrText>
          </w:r>
          <w:r>
            <w:fldChar w:fldCharType="separate"/>
          </w:r>
          <w:r>
            <w:rPr>
              <w:rFonts w:hint="eastAsia" w:ascii="宋体" w:hAnsi="宋体" w:cs="宋体"/>
              <w:bCs/>
              <w:sz w:val="24"/>
              <w:szCs w:val="24"/>
            </w:rPr>
            <w:t>二、收入决算表</w:t>
          </w:r>
          <w:r>
            <w:rPr>
              <w:rFonts w:hint="eastAsia" w:ascii="宋体" w:hAnsi="宋体" w:cs="宋体"/>
              <w:bCs/>
              <w:sz w:val="24"/>
              <w:szCs w:val="24"/>
            </w:rPr>
            <w:tab/>
          </w:r>
          <w:r>
            <w:rPr>
              <w:rFonts w:hint="eastAsia" w:ascii="宋体" w:hAnsi="宋体" w:cs="宋体"/>
              <w:bCs/>
              <w:sz w:val="24"/>
              <w:szCs w:val="24"/>
            </w:rPr>
            <w:fldChar w:fldCharType="end"/>
          </w:r>
          <w:r>
            <w:rPr>
              <w:rFonts w:hint="eastAsia" w:ascii="宋体" w:hAnsi="宋体" w:cs="宋体"/>
              <w:bCs/>
              <w:sz w:val="24"/>
              <w:szCs w:val="24"/>
            </w:rPr>
            <w:t>4</w:t>
          </w:r>
          <w:r>
            <w:rPr>
              <w:rFonts w:hint="eastAsia" w:ascii="宋体" w:hAnsi="宋体" w:cs="宋体"/>
              <w:bCs/>
              <w:sz w:val="24"/>
              <w:szCs w:val="24"/>
              <w:lang w:val="en-US" w:eastAsia="zh-CN"/>
            </w:rPr>
            <w:t>1</w:t>
          </w:r>
        </w:p>
        <w:p>
          <w:pPr>
            <w:pStyle w:val="37"/>
            <w:tabs>
              <w:tab w:val="right" w:leader="dot" w:pos="8306"/>
            </w:tabs>
            <w:ind w:left="420"/>
            <w:rPr>
              <w:rFonts w:hint="eastAsia" w:ascii="宋体" w:hAnsi="宋体" w:eastAsia="宋体" w:cs="宋体"/>
              <w:bCs/>
              <w:sz w:val="24"/>
              <w:szCs w:val="24"/>
              <w:lang w:eastAsia="zh-CN"/>
            </w:rPr>
          </w:pPr>
          <w:r>
            <w:fldChar w:fldCharType="begin"/>
          </w:r>
          <w:r>
            <w:instrText xml:space="preserve"> HYPERLINK \l "_Toc9346" </w:instrText>
          </w:r>
          <w:r>
            <w:fldChar w:fldCharType="separate"/>
          </w:r>
          <w:r>
            <w:rPr>
              <w:rFonts w:hint="eastAsia" w:ascii="宋体" w:hAnsi="宋体" w:cs="宋体"/>
              <w:bCs/>
              <w:sz w:val="24"/>
              <w:szCs w:val="24"/>
            </w:rPr>
            <w:t>三、支出决算表</w:t>
          </w:r>
          <w:r>
            <w:rPr>
              <w:rFonts w:hint="eastAsia" w:ascii="宋体" w:hAnsi="宋体" w:cs="宋体"/>
              <w:bCs/>
              <w:sz w:val="24"/>
              <w:szCs w:val="24"/>
            </w:rPr>
            <w:tab/>
          </w:r>
          <w:r>
            <w:rPr>
              <w:rFonts w:hint="eastAsia" w:ascii="宋体" w:hAnsi="宋体" w:cs="宋体"/>
              <w:bCs/>
              <w:sz w:val="24"/>
              <w:szCs w:val="24"/>
            </w:rPr>
            <w:fldChar w:fldCharType="end"/>
          </w:r>
          <w:r>
            <w:rPr>
              <w:rFonts w:hint="eastAsia" w:ascii="宋体" w:hAnsi="宋体" w:cs="宋体"/>
              <w:bCs/>
              <w:sz w:val="24"/>
              <w:szCs w:val="24"/>
            </w:rPr>
            <w:t>4</w:t>
          </w:r>
          <w:r>
            <w:rPr>
              <w:rFonts w:hint="eastAsia" w:ascii="宋体" w:hAnsi="宋体" w:cs="宋体"/>
              <w:bCs/>
              <w:sz w:val="24"/>
              <w:szCs w:val="24"/>
              <w:lang w:val="en-US" w:eastAsia="zh-CN"/>
            </w:rPr>
            <w:t>1</w:t>
          </w:r>
        </w:p>
        <w:p>
          <w:pPr>
            <w:pStyle w:val="37"/>
            <w:tabs>
              <w:tab w:val="right" w:leader="dot" w:pos="8306"/>
            </w:tabs>
            <w:ind w:left="420"/>
            <w:rPr>
              <w:rFonts w:hint="eastAsia" w:ascii="宋体" w:hAnsi="宋体" w:eastAsia="宋体" w:cs="宋体"/>
              <w:bCs/>
              <w:sz w:val="24"/>
              <w:szCs w:val="24"/>
              <w:lang w:eastAsia="zh-CN"/>
            </w:rPr>
          </w:pPr>
          <w:r>
            <w:fldChar w:fldCharType="begin"/>
          </w:r>
          <w:r>
            <w:instrText xml:space="preserve"> HYPERLINK \l "_Toc9359" </w:instrText>
          </w:r>
          <w:r>
            <w:fldChar w:fldCharType="separate"/>
          </w:r>
          <w:r>
            <w:rPr>
              <w:rFonts w:hint="eastAsia" w:ascii="宋体" w:hAnsi="宋体" w:cs="宋体"/>
              <w:bCs/>
              <w:sz w:val="24"/>
              <w:szCs w:val="24"/>
            </w:rPr>
            <w:t>四、财政拨款收入支出决算总表</w:t>
          </w:r>
          <w:r>
            <w:rPr>
              <w:rFonts w:hint="eastAsia" w:ascii="宋体" w:hAnsi="宋体" w:cs="宋体"/>
              <w:bCs/>
              <w:sz w:val="24"/>
              <w:szCs w:val="24"/>
            </w:rPr>
            <w:tab/>
          </w:r>
          <w:r>
            <w:rPr>
              <w:rFonts w:hint="eastAsia" w:ascii="宋体" w:hAnsi="宋体" w:cs="宋体"/>
              <w:bCs/>
              <w:sz w:val="24"/>
              <w:szCs w:val="24"/>
            </w:rPr>
            <w:fldChar w:fldCharType="end"/>
          </w:r>
          <w:r>
            <w:rPr>
              <w:rFonts w:hint="eastAsia" w:ascii="宋体" w:hAnsi="宋体" w:cs="宋体"/>
              <w:bCs/>
              <w:sz w:val="24"/>
              <w:szCs w:val="24"/>
            </w:rPr>
            <w:t>4</w:t>
          </w:r>
          <w:r>
            <w:rPr>
              <w:rFonts w:hint="eastAsia" w:ascii="宋体" w:hAnsi="宋体" w:cs="宋体"/>
              <w:bCs/>
              <w:sz w:val="24"/>
              <w:szCs w:val="24"/>
              <w:lang w:val="en-US" w:eastAsia="zh-CN"/>
            </w:rPr>
            <w:t>1</w:t>
          </w:r>
        </w:p>
        <w:p>
          <w:pPr>
            <w:pStyle w:val="37"/>
            <w:tabs>
              <w:tab w:val="right" w:leader="dot" w:pos="8306"/>
            </w:tabs>
            <w:ind w:left="420"/>
            <w:rPr>
              <w:rFonts w:hint="eastAsia" w:ascii="宋体" w:hAnsi="宋体" w:eastAsia="宋体" w:cs="宋体"/>
              <w:bCs/>
              <w:sz w:val="24"/>
              <w:szCs w:val="24"/>
              <w:lang w:eastAsia="zh-CN"/>
            </w:rPr>
          </w:pPr>
          <w:r>
            <w:fldChar w:fldCharType="begin"/>
          </w:r>
          <w:r>
            <w:instrText xml:space="preserve"> HYPERLINK \l "_Toc8431" </w:instrText>
          </w:r>
          <w:r>
            <w:fldChar w:fldCharType="separate"/>
          </w:r>
          <w:r>
            <w:rPr>
              <w:rFonts w:hint="eastAsia" w:ascii="宋体" w:hAnsi="宋体" w:cs="宋体"/>
              <w:bCs/>
              <w:sz w:val="24"/>
              <w:szCs w:val="24"/>
            </w:rPr>
            <w:t>五、财政拨款支出决算明细表</w:t>
          </w:r>
          <w:r>
            <w:rPr>
              <w:rFonts w:hint="eastAsia" w:ascii="宋体" w:hAnsi="宋体" w:cs="宋体"/>
              <w:bCs/>
              <w:sz w:val="24"/>
              <w:szCs w:val="24"/>
            </w:rPr>
            <w:tab/>
          </w:r>
          <w:r>
            <w:rPr>
              <w:rFonts w:hint="eastAsia" w:ascii="宋体" w:hAnsi="宋体" w:cs="宋体"/>
              <w:bCs/>
              <w:sz w:val="24"/>
              <w:szCs w:val="24"/>
            </w:rPr>
            <w:fldChar w:fldCharType="end"/>
          </w:r>
          <w:r>
            <w:rPr>
              <w:rFonts w:hint="eastAsia" w:ascii="宋体" w:hAnsi="宋体" w:cs="宋体"/>
              <w:bCs/>
              <w:sz w:val="24"/>
              <w:szCs w:val="24"/>
            </w:rPr>
            <w:t>4</w:t>
          </w:r>
          <w:r>
            <w:rPr>
              <w:rFonts w:hint="eastAsia" w:ascii="宋体" w:hAnsi="宋体" w:cs="宋体"/>
              <w:bCs/>
              <w:sz w:val="24"/>
              <w:szCs w:val="24"/>
              <w:lang w:val="en-US" w:eastAsia="zh-CN"/>
            </w:rPr>
            <w:t>1</w:t>
          </w:r>
        </w:p>
        <w:p>
          <w:pPr>
            <w:pStyle w:val="37"/>
            <w:tabs>
              <w:tab w:val="right" w:leader="dot" w:pos="8306"/>
            </w:tabs>
            <w:ind w:left="420"/>
            <w:rPr>
              <w:rFonts w:hint="eastAsia" w:ascii="宋体" w:hAnsi="宋体" w:eastAsia="宋体" w:cs="宋体"/>
              <w:bCs/>
              <w:sz w:val="24"/>
              <w:szCs w:val="24"/>
              <w:lang w:eastAsia="zh-CN"/>
            </w:rPr>
          </w:pPr>
          <w:r>
            <w:fldChar w:fldCharType="begin"/>
          </w:r>
          <w:r>
            <w:instrText xml:space="preserve"> HYPERLINK \l "_Toc18726" </w:instrText>
          </w:r>
          <w:r>
            <w:fldChar w:fldCharType="separate"/>
          </w:r>
          <w:r>
            <w:rPr>
              <w:rFonts w:hint="eastAsia" w:ascii="宋体" w:hAnsi="宋体" w:cs="宋体"/>
              <w:bCs/>
              <w:sz w:val="24"/>
              <w:szCs w:val="24"/>
            </w:rPr>
            <w:t>六、一般公共预算财政拨款支出决算表</w:t>
          </w:r>
          <w:r>
            <w:rPr>
              <w:rFonts w:hint="eastAsia" w:ascii="宋体" w:hAnsi="宋体" w:cs="宋体"/>
              <w:bCs/>
              <w:sz w:val="24"/>
              <w:szCs w:val="24"/>
            </w:rPr>
            <w:tab/>
          </w:r>
          <w:r>
            <w:rPr>
              <w:rFonts w:hint="eastAsia" w:ascii="宋体" w:hAnsi="宋体" w:cs="宋体"/>
              <w:bCs/>
              <w:sz w:val="24"/>
              <w:szCs w:val="24"/>
            </w:rPr>
            <w:fldChar w:fldCharType="end"/>
          </w:r>
          <w:r>
            <w:rPr>
              <w:rFonts w:hint="eastAsia" w:ascii="宋体" w:hAnsi="宋体" w:cs="宋体"/>
              <w:bCs/>
              <w:sz w:val="24"/>
              <w:szCs w:val="24"/>
            </w:rPr>
            <w:t>4</w:t>
          </w:r>
          <w:r>
            <w:rPr>
              <w:rFonts w:hint="eastAsia" w:ascii="宋体" w:hAnsi="宋体" w:cs="宋体"/>
              <w:bCs/>
              <w:sz w:val="24"/>
              <w:szCs w:val="24"/>
              <w:lang w:val="en-US" w:eastAsia="zh-CN"/>
            </w:rPr>
            <w:t>1</w:t>
          </w:r>
        </w:p>
        <w:p>
          <w:pPr>
            <w:pStyle w:val="37"/>
            <w:tabs>
              <w:tab w:val="right" w:leader="dot" w:pos="8306"/>
            </w:tabs>
            <w:ind w:left="420"/>
            <w:rPr>
              <w:rFonts w:hint="eastAsia" w:ascii="宋体" w:hAnsi="宋体" w:eastAsia="宋体" w:cs="宋体"/>
              <w:bCs/>
              <w:sz w:val="24"/>
              <w:szCs w:val="24"/>
              <w:lang w:eastAsia="zh-CN"/>
            </w:rPr>
          </w:pPr>
          <w:r>
            <w:fldChar w:fldCharType="begin"/>
          </w:r>
          <w:r>
            <w:instrText xml:space="preserve"> HYPERLINK \l "_Toc32682" </w:instrText>
          </w:r>
          <w:r>
            <w:fldChar w:fldCharType="separate"/>
          </w:r>
          <w:r>
            <w:rPr>
              <w:rFonts w:hint="eastAsia" w:ascii="宋体" w:hAnsi="宋体" w:cs="宋体"/>
              <w:bCs/>
              <w:sz w:val="24"/>
              <w:szCs w:val="24"/>
            </w:rPr>
            <w:t>七、一般公共预算财政拨款支出决算明细表</w:t>
          </w:r>
          <w:r>
            <w:rPr>
              <w:rFonts w:hint="eastAsia" w:ascii="宋体" w:hAnsi="宋体" w:cs="宋体"/>
              <w:bCs/>
              <w:sz w:val="24"/>
              <w:szCs w:val="24"/>
            </w:rPr>
            <w:tab/>
          </w:r>
          <w:r>
            <w:rPr>
              <w:rFonts w:hint="eastAsia" w:ascii="宋体" w:hAnsi="宋体" w:cs="宋体"/>
              <w:bCs/>
              <w:sz w:val="24"/>
              <w:szCs w:val="24"/>
            </w:rPr>
            <w:fldChar w:fldCharType="end"/>
          </w:r>
          <w:r>
            <w:rPr>
              <w:rFonts w:hint="eastAsia" w:ascii="宋体" w:hAnsi="宋体" w:cs="宋体"/>
              <w:bCs/>
              <w:sz w:val="24"/>
              <w:szCs w:val="24"/>
            </w:rPr>
            <w:t>4</w:t>
          </w:r>
          <w:r>
            <w:rPr>
              <w:rFonts w:hint="eastAsia" w:ascii="宋体" w:hAnsi="宋体" w:cs="宋体"/>
              <w:bCs/>
              <w:sz w:val="24"/>
              <w:szCs w:val="24"/>
              <w:lang w:val="en-US" w:eastAsia="zh-CN"/>
            </w:rPr>
            <w:t>1</w:t>
          </w:r>
        </w:p>
        <w:p>
          <w:pPr>
            <w:pStyle w:val="37"/>
            <w:tabs>
              <w:tab w:val="right" w:leader="dot" w:pos="8306"/>
            </w:tabs>
            <w:ind w:left="420"/>
            <w:rPr>
              <w:rFonts w:hint="eastAsia" w:ascii="宋体" w:hAnsi="宋体" w:eastAsia="宋体" w:cs="宋体"/>
              <w:bCs/>
              <w:sz w:val="24"/>
              <w:szCs w:val="24"/>
              <w:lang w:eastAsia="zh-CN"/>
            </w:rPr>
          </w:pPr>
          <w:r>
            <w:fldChar w:fldCharType="begin"/>
          </w:r>
          <w:r>
            <w:instrText xml:space="preserve"> HYPERLINK \l "_Toc30998" </w:instrText>
          </w:r>
          <w:r>
            <w:fldChar w:fldCharType="separate"/>
          </w:r>
          <w:r>
            <w:rPr>
              <w:rFonts w:hint="eastAsia" w:ascii="宋体" w:hAnsi="宋体" w:cs="宋体"/>
              <w:bCs/>
              <w:sz w:val="24"/>
              <w:szCs w:val="24"/>
            </w:rPr>
            <w:t>八、一般公共预算财政拨款基本支出决算表</w:t>
          </w:r>
          <w:r>
            <w:rPr>
              <w:rFonts w:hint="eastAsia" w:ascii="宋体" w:hAnsi="宋体" w:cs="宋体"/>
              <w:bCs/>
              <w:sz w:val="24"/>
              <w:szCs w:val="24"/>
            </w:rPr>
            <w:tab/>
          </w:r>
          <w:r>
            <w:rPr>
              <w:rFonts w:hint="eastAsia" w:ascii="宋体" w:hAnsi="宋体" w:cs="宋体"/>
              <w:bCs/>
              <w:sz w:val="24"/>
              <w:szCs w:val="24"/>
            </w:rPr>
            <w:fldChar w:fldCharType="end"/>
          </w:r>
          <w:r>
            <w:rPr>
              <w:rFonts w:hint="eastAsia" w:ascii="宋体" w:hAnsi="宋体" w:cs="宋体"/>
              <w:bCs/>
              <w:sz w:val="24"/>
              <w:szCs w:val="24"/>
            </w:rPr>
            <w:t>4</w:t>
          </w:r>
          <w:r>
            <w:rPr>
              <w:rFonts w:hint="eastAsia" w:ascii="宋体" w:hAnsi="宋体" w:cs="宋体"/>
              <w:bCs/>
              <w:sz w:val="24"/>
              <w:szCs w:val="24"/>
              <w:lang w:val="en-US" w:eastAsia="zh-CN"/>
            </w:rPr>
            <w:t>1</w:t>
          </w:r>
        </w:p>
        <w:p>
          <w:pPr>
            <w:pStyle w:val="37"/>
            <w:tabs>
              <w:tab w:val="right" w:leader="dot" w:pos="8306"/>
            </w:tabs>
            <w:ind w:left="420"/>
            <w:rPr>
              <w:rFonts w:hint="eastAsia" w:ascii="宋体" w:hAnsi="宋体" w:eastAsia="宋体" w:cs="宋体"/>
              <w:bCs/>
              <w:sz w:val="24"/>
              <w:szCs w:val="24"/>
              <w:lang w:eastAsia="zh-CN"/>
            </w:rPr>
          </w:pPr>
          <w:r>
            <w:fldChar w:fldCharType="begin"/>
          </w:r>
          <w:r>
            <w:instrText xml:space="preserve"> HYPERLINK \l "_Toc30361" </w:instrText>
          </w:r>
          <w:r>
            <w:fldChar w:fldCharType="separate"/>
          </w:r>
          <w:r>
            <w:rPr>
              <w:rFonts w:hint="eastAsia" w:ascii="宋体" w:hAnsi="宋体" w:cs="宋体"/>
              <w:bCs/>
              <w:sz w:val="24"/>
              <w:szCs w:val="24"/>
            </w:rPr>
            <w:t>九、一般公共预算财政拨款项目支出决算表</w:t>
          </w:r>
          <w:r>
            <w:rPr>
              <w:rFonts w:hint="eastAsia" w:ascii="宋体" w:hAnsi="宋体" w:cs="宋体"/>
              <w:bCs/>
              <w:sz w:val="24"/>
              <w:szCs w:val="24"/>
            </w:rPr>
            <w:tab/>
          </w:r>
          <w:r>
            <w:rPr>
              <w:rFonts w:hint="eastAsia" w:ascii="宋体" w:hAnsi="宋体" w:cs="宋体"/>
              <w:bCs/>
              <w:sz w:val="24"/>
              <w:szCs w:val="24"/>
            </w:rPr>
            <w:fldChar w:fldCharType="end"/>
          </w:r>
          <w:r>
            <w:rPr>
              <w:rFonts w:hint="eastAsia" w:ascii="宋体" w:hAnsi="宋体" w:cs="宋体"/>
              <w:bCs/>
              <w:sz w:val="24"/>
              <w:szCs w:val="24"/>
            </w:rPr>
            <w:t>4</w:t>
          </w:r>
          <w:r>
            <w:rPr>
              <w:rFonts w:hint="eastAsia" w:ascii="宋体" w:hAnsi="宋体" w:cs="宋体"/>
              <w:bCs/>
              <w:sz w:val="24"/>
              <w:szCs w:val="24"/>
              <w:lang w:val="en-US" w:eastAsia="zh-CN"/>
            </w:rPr>
            <w:t>1</w:t>
          </w:r>
        </w:p>
        <w:p>
          <w:pPr>
            <w:pStyle w:val="37"/>
            <w:tabs>
              <w:tab w:val="right" w:leader="dot" w:pos="8306"/>
            </w:tabs>
            <w:ind w:left="420"/>
            <w:rPr>
              <w:rFonts w:hint="eastAsia" w:ascii="宋体" w:hAnsi="宋体" w:eastAsia="宋体" w:cs="宋体"/>
              <w:bCs/>
              <w:sz w:val="24"/>
              <w:szCs w:val="24"/>
              <w:lang w:eastAsia="zh-CN"/>
            </w:rPr>
          </w:pPr>
          <w:r>
            <w:fldChar w:fldCharType="begin"/>
          </w:r>
          <w:r>
            <w:instrText xml:space="preserve"> HYPERLINK \l "_Toc27344" </w:instrText>
          </w:r>
          <w:r>
            <w:fldChar w:fldCharType="separate"/>
          </w:r>
          <w:r>
            <w:rPr>
              <w:rFonts w:hint="eastAsia" w:ascii="宋体" w:hAnsi="宋体" w:cs="宋体"/>
              <w:bCs/>
              <w:sz w:val="24"/>
              <w:szCs w:val="24"/>
            </w:rPr>
            <w:t>十、政府性基金预算财政拨款收入支出决算表</w:t>
          </w:r>
          <w:r>
            <w:rPr>
              <w:rFonts w:hint="eastAsia" w:ascii="宋体" w:hAnsi="宋体" w:cs="宋体"/>
              <w:bCs/>
              <w:sz w:val="24"/>
              <w:szCs w:val="24"/>
            </w:rPr>
            <w:tab/>
          </w:r>
          <w:r>
            <w:rPr>
              <w:rFonts w:hint="eastAsia" w:ascii="宋体" w:hAnsi="宋体" w:cs="宋体"/>
              <w:bCs/>
              <w:sz w:val="24"/>
              <w:szCs w:val="24"/>
            </w:rPr>
            <w:fldChar w:fldCharType="end"/>
          </w:r>
          <w:r>
            <w:rPr>
              <w:rFonts w:hint="eastAsia" w:ascii="宋体" w:hAnsi="宋体" w:cs="宋体"/>
              <w:bCs/>
              <w:sz w:val="24"/>
              <w:szCs w:val="24"/>
            </w:rPr>
            <w:t>4</w:t>
          </w:r>
          <w:r>
            <w:rPr>
              <w:rFonts w:hint="eastAsia" w:ascii="宋体" w:hAnsi="宋体" w:cs="宋体"/>
              <w:bCs/>
              <w:sz w:val="24"/>
              <w:szCs w:val="24"/>
              <w:lang w:val="en-US" w:eastAsia="zh-CN"/>
            </w:rPr>
            <w:t>1</w:t>
          </w:r>
        </w:p>
        <w:p>
          <w:pPr>
            <w:pStyle w:val="37"/>
            <w:tabs>
              <w:tab w:val="right" w:leader="dot" w:pos="8306"/>
            </w:tabs>
            <w:ind w:left="420"/>
            <w:rPr>
              <w:rFonts w:hint="eastAsia" w:ascii="宋体" w:hAnsi="宋体" w:eastAsia="宋体" w:cs="宋体"/>
              <w:bCs/>
              <w:sz w:val="24"/>
              <w:szCs w:val="24"/>
              <w:lang w:eastAsia="zh-CN"/>
            </w:rPr>
          </w:pPr>
          <w:r>
            <w:fldChar w:fldCharType="begin"/>
          </w:r>
          <w:r>
            <w:instrText xml:space="preserve"> HYPERLINK \l "_Toc2454" </w:instrText>
          </w:r>
          <w:r>
            <w:fldChar w:fldCharType="separate"/>
          </w:r>
          <w:r>
            <w:rPr>
              <w:rFonts w:hint="eastAsia" w:ascii="宋体" w:hAnsi="宋体" w:cs="宋体"/>
              <w:bCs/>
              <w:sz w:val="24"/>
              <w:szCs w:val="24"/>
            </w:rPr>
            <w:t>十一、国有资本经营预算财政拨款收入支出决算表</w:t>
          </w:r>
          <w:r>
            <w:rPr>
              <w:rFonts w:hint="eastAsia" w:ascii="宋体" w:hAnsi="宋体" w:cs="宋体"/>
              <w:bCs/>
              <w:sz w:val="24"/>
              <w:szCs w:val="24"/>
            </w:rPr>
            <w:tab/>
          </w:r>
          <w:r>
            <w:rPr>
              <w:rFonts w:hint="eastAsia" w:ascii="宋体" w:hAnsi="宋体" w:cs="宋体"/>
              <w:bCs/>
              <w:sz w:val="24"/>
              <w:szCs w:val="24"/>
            </w:rPr>
            <w:fldChar w:fldCharType="end"/>
          </w:r>
          <w:r>
            <w:rPr>
              <w:rFonts w:hint="eastAsia" w:ascii="宋体" w:hAnsi="宋体" w:cs="宋体"/>
              <w:bCs/>
              <w:sz w:val="24"/>
              <w:szCs w:val="24"/>
            </w:rPr>
            <w:t>4</w:t>
          </w:r>
          <w:r>
            <w:rPr>
              <w:rFonts w:hint="eastAsia" w:ascii="宋体" w:hAnsi="宋体" w:cs="宋体"/>
              <w:bCs/>
              <w:sz w:val="24"/>
              <w:szCs w:val="24"/>
              <w:lang w:val="en-US" w:eastAsia="zh-CN"/>
            </w:rPr>
            <w:t>1</w:t>
          </w:r>
        </w:p>
        <w:p>
          <w:pPr>
            <w:pStyle w:val="37"/>
            <w:tabs>
              <w:tab w:val="right" w:leader="dot" w:pos="8306"/>
            </w:tabs>
            <w:ind w:left="420"/>
            <w:rPr>
              <w:rFonts w:hint="eastAsia" w:ascii="宋体" w:hAnsi="宋体" w:eastAsia="宋体" w:cs="宋体"/>
              <w:bCs/>
              <w:sz w:val="24"/>
              <w:szCs w:val="24"/>
              <w:lang w:eastAsia="zh-CN"/>
            </w:rPr>
          </w:pPr>
          <w:r>
            <w:fldChar w:fldCharType="begin"/>
          </w:r>
          <w:r>
            <w:instrText xml:space="preserve"> HYPERLINK \l "_Toc5658" </w:instrText>
          </w:r>
          <w:r>
            <w:fldChar w:fldCharType="separate"/>
          </w:r>
          <w:r>
            <w:rPr>
              <w:rFonts w:hint="eastAsia" w:ascii="宋体" w:hAnsi="宋体" w:cs="宋体"/>
              <w:bCs/>
              <w:sz w:val="24"/>
              <w:szCs w:val="24"/>
            </w:rPr>
            <w:t>十二、国有资本经营</w:t>
          </w:r>
          <w:r>
            <w:rPr>
              <w:rFonts w:hint="eastAsia"/>
              <w:kern w:val="2"/>
              <w:sz w:val="24"/>
              <w:szCs w:val="24"/>
            </w:rPr>
            <w:t>预算</w:t>
          </w:r>
          <w:r>
            <w:rPr>
              <w:rFonts w:hint="eastAsia" w:ascii="宋体" w:hAnsi="宋体" w:cs="宋体"/>
              <w:bCs/>
              <w:sz w:val="24"/>
              <w:szCs w:val="24"/>
            </w:rPr>
            <w:t>财政拨款支出决算表</w:t>
          </w:r>
          <w:r>
            <w:rPr>
              <w:rFonts w:hint="eastAsia" w:ascii="宋体" w:hAnsi="宋体" w:cs="宋体"/>
              <w:bCs/>
              <w:sz w:val="24"/>
              <w:szCs w:val="24"/>
            </w:rPr>
            <w:tab/>
          </w:r>
          <w:r>
            <w:rPr>
              <w:rFonts w:hint="eastAsia" w:ascii="宋体" w:hAnsi="宋体" w:cs="宋体"/>
              <w:bCs/>
              <w:sz w:val="24"/>
              <w:szCs w:val="24"/>
            </w:rPr>
            <w:t>4</w:t>
          </w:r>
          <w:r>
            <w:rPr>
              <w:rFonts w:hint="eastAsia" w:ascii="宋体" w:hAnsi="宋体" w:cs="宋体"/>
              <w:bCs/>
              <w:sz w:val="24"/>
              <w:szCs w:val="24"/>
            </w:rPr>
            <w:fldChar w:fldCharType="end"/>
          </w:r>
          <w:r>
            <w:rPr>
              <w:rFonts w:hint="eastAsia" w:ascii="宋体" w:hAnsi="宋体" w:cs="宋体"/>
              <w:bCs/>
              <w:sz w:val="24"/>
              <w:szCs w:val="24"/>
              <w:lang w:val="en-US" w:eastAsia="zh-CN"/>
            </w:rPr>
            <w:t>1</w:t>
          </w:r>
        </w:p>
        <w:p>
          <w:pPr>
            <w:pStyle w:val="37"/>
            <w:tabs>
              <w:tab w:val="right" w:leader="dot" w:pos="8306"/>
            </w:tabs>
            <w:ind w:left="420"/>
            <w:rPr>
              <w:rFonts w:hint="eastAsia" w:ascii="宋体" w:hAnsi="宋体" w:eastAsia="宋体" w:cs="宋体"/>
              <w:bCs/>
              <w:sz w:val="24"/>
              <w:szCs w:val="24"/>
              <w:lang w:eastAsia="zh-CN"/>
            </w:rPr>
          </w:pPr>
          <w:r>
            <w:fldChar w:fldCharType="begin"/>
          </w:r>
          <w:r>
            <w:instrText xml:space="preserve"> HYPERLINK \l "_Toc5658" </w:instrText>
          </w:r>
          <w:r>
            <w:fldChar w:fldCharType="separate"/>
          </w:r>
          <w:r>
            <w:rPr>
              <w:rFonts w:hint="eastAsia" w:ascii="宋体" w:hAnsi="宋体" w:cs="宋体"/>
              <w:bCs/>
              <w:sz w:val="24"/>
              <w:szCs w:val="24"/>
            </w:rPr>
            <w:t>十三、</w:t>
          </w:r>
          <w:r>
            <w:rPr>
              <w:rFonts w:hint="eastAsia"/>
              <w:sz w:val="24"/>
            </w:rPr>
            <w:t>财政拨款“三公”经费支出决算表</w:t>
          </w:r>
          <w:r>
            <w:rPr>
              <w:rFonts w:hint="eastAsia" w:ascii="宋体" w:hAnsi="宋体" w:cs="宋体"/>
              <w:bCs/>
              <w:sz w:val="24"/>
              <w:szCs w:val="24"/>
            </w:rPr>
            <w:tab/>
          </w:r>
          <w:r>
            <w:rPr>
              <w:rFonts w:hint="eastAsia" w:ascii="宋体" w:hAnsi="宋体" w:cs="宋体"/>
              <w:bCs/>
              <w:sz w:val="24"/>
              <w:szCs w:val="24"/>
            </w:rPr>
            <w:fldChar w:fldCharType="end"/>
          </w:r>
          <w:r>
            <w:rPr>
              <w:rFonts w:hint="eastAsia" w:ascii="宋体" w:hAnsi="宋体" w:cs="宋体"/>
              <w:bCs/>
              <w:sz w:val="24"/>
              <w:szCs w:val="24"/>
            </w:rPr>
            <w:t>4</w:t>
          </w:r>
          <w:r>
            <w:rPr>
              <w:rFonts w:hint="eastAsia" w:ascii="宋体" w:hAnsi="宋体" w:cs="宋体"/>
              <w:bCs/>
              <w:sz w:val="24"/>
              <w:szCs w:val="24"/>
              <w:lang w:val="en-US" w:eastAsia="zh-CN"/>
            </w:rPr>
            <w:t>1</w:t>
          </w:r>
        </w:p>
        <w:p>
          <w:pPr>
            <w:pStyle w:val="37"/>
            <w:tabs>
              <w:tab w:val="right" w:leader="dot" w:pos="8306"/>
            </w:tabs>
            <w:ind w:left="420"/>
            <w:rPr>
              <w:rFonts w:ascii="宋体" w:hAnsi="宋体" w:cs="宋体"/>
              <w:sz w:val="24"/>
              <w:szCs w:val="24"/>
            </w:rPr>
          </w:pPr>
        </w:p>
        <w:p>
          <w:r>
            <w:rPr>
              <w:rFonts w:hint="eastAsia" w:ascii="宋体" w:hAnsi="宋体" w:cs="宋体"/>
              <w:b/>
              <w:sz w:val="24"/>
            </w:rPr>
            <w:fldChar w:fldCharType="end"/>
          </w:r>
        </w:p>
      </w:sdtContent>
    </w:sdt>
    <w:p>
      <w:pPr>
        <w:widowControl/>
        <w:spacing w:line="440" w:lineRule="exact"/>
        <w:jc w:val="left"/>
        <w:rPr>
          <w:rFonts w:ascii="仿宋" w:hAnsi="仿宋" w:eastAsia="仿宋"/>
          <w:bCs/>
          <w:kern w:val="44"/>
          <w:sz w:val="24"/>
        </w:rPr>
      </w:pPr>
      <w:bookmarkStart w:id="14" w:name="_Toc15396599"/>
      <w:bookmarkStart w:id="15" w:name="_Toc15377196"/>
      <w:r>
        <w:rPr>
          <w:rFonts w:ascii="仿宋" w:hAnsi="仿宋" w:eastAsia="仿宋"/>
          <w:b/>
          <w:sz w:val="24"/>
        </w:rPr>
        <w:br w:type="page"/>
      </w:r>
    </w:p>
    <w:p>
      <w:pPr>
        <w:pStyle w:val="3"/>
        <w:jc w:val="center"/>
        <w:rPr>
          <w:rStyle w:val="30"/>
          <w:rFonts w:ascii="黑体" w:hAnsi="黑体" w:eastAsia="黑体"/>
          <w:b/>
          <w:bCs w:val="0"/>
        </w:rPr>
      </w:pPr>
      <w:bookmarkStart w:id="16" w:name="_Toc383"/>
      <w:r>
        <w:rPr>
          <w:rFonts w:hint="eastAsia" w:ascii="黑体" w:hAnsi="黑体" w:eastAsia="黑体"/>
          <w:b w:val="0"/>
        </w:rPr>
        <w:t>第一部分 单位</w:t>
      </w:r>
      <w:r>
        <w:rPr>
          <w:rStyle w:val="30"/>
          <w:rFonts w:hint="eastAsia" w:ascii="黑体" w:hAnsi="黑体" w:eastAsia="黑体"/>
          <w:b w:val="0"/>
          <w:bCs w:val="0"/>
        </w:rPr>
        <w:t>概况</w:t>
      </w:r>
      <w:bookmarkEnd w:id="14"/>
      <w:bookmarkEnd w:id="15"/>
      <w:bookmarkEnd w:id="16"/>
    </w:p>
    <w:p>
      <w:pPr>
        <w:widowControl/>
        <w:jc w:val="left"/>
        <w:rPr>
          <w:rFonts w:ascii="黑体" w:eastAsia="黑体"/>
          <w:sz w:val="32"/>
          <w:szCs w:val="32"/>
        </w:rPr>
      </w:pPr>
    </w:p>
    <w:p>
      <w:pPr>
        <w:numPr>
          <w:ilvl w:val="0"/>
          <w:numId w:val="1"/>
        </w:numPr>
        <w:snapToGrid w:val="0"/>
        <w:spacing w:line="520" w:lineRule="exact"/>
        <w:ind w:firstLine="640" w:firstLineChars="200"/>
        <w:rPr>
          <w:rStyle w:val="31"/>
          <w:rFonts w:ascii="黑体" w:hAnsi="黑体" w:eastAsia="黑体"/>
          <w:b w:val="0"/>
          <w:bCs w:val="0"/>
        </w:rPr>
      </w:pPr>
      <w:bookmarkStart w:id="17" w:name="_Toc15377197"/>
      <w:bookmarkStart w:id="18" w:name="_Toc15396600"/>
      <w:r>
        <w:rPr>
          <w:rStyle w:val="31"/>
          <w:rFonts w:hint="eastAsia" w:ascii="黑体" w:hAnsi="黑体" w:eastAsia="黑体"/>
          <w:b w:val="0"/>
          <w:bCs w:val="0"/>
        </w:rPr>
        <w:t>主要职责</w:t>
      </w:r>
    </w:p>
    <w:p>
      <w:pPr>
        <w:snapToGrid w:val="0"/>
        <w:spacing w:line="520" w:lineRule="exact"/>
        <w:ind w:firstLine="960" w:firstLineChars="300"/>
        <w:rPr>
          <w:rFonts w:ascii="仿宋" w:hAnsi="仿宋" w:eastAsia="仿宋" w:cs="仿宋"/>
          <w:sz w:val="32"/>
          <w:szCs w:val="32"/>
        </w:rPr>
      </w:pPr>
      <w:r>
        <w:rPr>
          <w:rFonts w:hint="eastAsia" w:ascii="仿宋" w:hAnsi="仿宋" w:eastAsia="仿宋" w:cs="仿宋"/>
          <w:sz w:val="32"/>
          <w:szCs w:val="32"/>
        </w:rPr>
        <w:t>主要职责：遂宁市紧急医疗救援中心是遂宁市卫健委下属二级预算单位，属于事业单位</w:t>
      </w:r>
      <w:r>
        <w:rPr>
          <w:rFonts w:hint="eastAsia" w:ascii="仿宋" w:hAnsi="仿宋" w:eastAsia="仿宋" w:cs="仿宋"/>
          <w:sz w:val="32"/>
          <w:szCs w:val="32"/>
          <w:lang w:eastAsia="zh-CN"/>
        </w:rPr>
        <w:t>。</w:t>
      </w:r>
      <w:r>
        <w:rPr>
          <w:rFonts w:hint="eastAsia" w:ascii="仿宋" w:hAnsi="仿宋" w:eastAsia="仿宋" w:cs="仿宋"/>
          <w:sz w:val="32"/>
          <w:szCs w:val="32"/>
        </w:rPr>
        <w:t>共4个科室，包含调度科、急救医疗科、网络管理科、综合办公室</w:t>
      </w:r>
      <w:r>
        <w:rPr>
          <w:rFonts w:hint="eastAsia" w:ascii="仿宋" w:hAnsi="仿宋" w:eastAsia="仿宋" w:cs="仿宋"/>
          <w:sz w:val="32"/>
          <w:szCs w:val="32"/>
          <w:lang w:eastAsia="zh-CN"/>
        </w:rPr>
        <w:t>，</w:t>
      </w:r>
      <w:r>
        <w:rPr>
          <w:rFonts w:hint="eastAsia" w:ascii="仿宋" w:hAnsi="仿宋" w:eastAsia="仿宋" w:cs="仿宋"/>
          <w:sz w:val="32"/>
          <w:szCs w:val="32"/>
        </w:rPr>
        <w:t>主要承担着全市120急救的统一调度、统一指挥，开展院前急救及转运，急救知识宣传普及、技术培训和急救医疗科研及学术交流，负责全市突发公共卫生事件的医疗急救指挥、调度、信息收集和报告，与110、119、122等全面联系形成遂宁市社会应急联动系统。</w:t>
      </w:r>
    </w:p>
    <w:bookmarkEnd w:id="17"/>
    <w:bookmarkEnd w:id="18"/>
    <w:p>
      <w:pPr>
        <w:numPr>
          <w:ilvl w:val="0"/>
          <w:numId w:val="1"/>
        </w:numPr>
        <w:snapToGrid w:val="0"/>
        <w:spacing w:line="520" w:lineRule="exact"/>
        <w:ind w:firstLine="640" w:firstLineChars="200"/>
        <w:rPr>
          <w:rStyle w:val="31"/>
          <w:rFonts w:ascii="黑体" w:hAnsi="黑体" w:eastAsia="黑体"/>
          <w:b w:val="0"/>
          <w:bCs w:val="0"/>
          <w:lang w:val="zh-CN"/>
        </w:rPr>
      </w:pPr>
      <w:r>
        <w:rPr>
          <w:rStyle w:val="31"/>
          <w:rFonts w:hint="eastAsia" w:ascii="黑体" w:hAnsi="黑体" w:eastAsia="黑体"/>
          <w:b w:val="0"/>
          <w:bCs w:val="0"/>
          <w:lang w:val="zh-CN"/>
        </w:rPr>
        <w:t>机构设置</w:t>
      </w:r>
    </w:p>
    <w:p>
      <w:pPr>
        <w:snapToGrid w:val="0"/>
        <w:spacing w:line="520" w:lineRule="exact"/>
        <w:ind w:firstLine="960" w:firstLineChars="300"/>
        <w:rPr>
          <w:rFonts w:ascii="仿宋" w:hAnsi="仿宋" w:eastAsia="仿宋" w:cs="仿宋"/>
          <w:sz w:val="32"/>
          <w:szCs w:val="32"/>
          <w:lang w:val="zh-CN"/>
        </w:rPr>
      </w:pPr>
      <w:r>
        <w:rPr>
          <w:rFonts w:hint="eastAsia" w:ascii="仿宋" w:hAnsi="仿宋" w:eastAsia="仿宋" w:cs="仿宋"/>
          <w:sz w:val="32"/>
          <w:szCs w:val="32"/>
        </w:rPr>
        <w:t>遂宁市紧急医疗救援中心有4个</w:t>
      </w:r>
      <w:r>
        <w:rPr>
          <w:rFonts w:hint="eastAsia" w:ascii="仿宋" w:hAnsi="仿宋" w:eastAsia="仿宋" w:cs="仿宋"/>
          <w:sz w:val="32"/>
          <w:szCs w:val="32"/>
          <w:lang w:val="zh-CN"/>
        </w:rPr>
        <w:t>内设机构：综合办公</w:t>
      </w:r>
      <w:r>
        <w:rPr>
          <w:rFonts w:hint="eastAsia" w:ascii="仿宋" w:hAnsi="仿宋" w:eastAsia="仿宋" w:cs="仿宋"/>
          <w:sz w:val="32"/>
          <w:szCs w:val="32"/>
        </w:rPr>
        <w:t>室</w:t>
      </w:r>
      <w:r>
        <w:rPr>
          <w:rFonts w:hint="eastAsia" w:ascii="仿宋" w:hAnsi="仿宋" w:eastAsia="仿宋" w:cs="仿宋"/>
          <w:sz w:val="32"/>
          <w:szCs w:val="32"/>
          <w:lang w:val="zh-CN"/>
        </w:rPr>
        <w:t>、调度科、急救医疗科、网络管理科。</w:t>
      </w:r>
    </w:p>
    <w:p>
      <w:pPr>
        <w:snapToGrid w:val="0"/>
        <w:spacing w:line="520" w:lineRule="exact"/>
        <w:ind w:firstLine="960" w:firstLineChars="300"/>
        <w:rPr>
          <w:rFonts w:ascii="仿宋" w:hAnsi="仿宋" w:eastAsia="仿宋" w:cs="仿宋"/>
          <w:sz w:val="32"/>
          <w:szCs w:val="32"/>
          <w:lang w:val="zh-CN"/>
        </w:rPr>
      </w:pPr>
      <w:r>
        <w:rPr>
          <w:rFonts w:hint="eastAsia" w:ascii="仿宋" w:hAnsi="仿宋" w:eastAsia="仿宋" w:cs="仿宋"/>
          <w:sz w:val="32"/>
          <w:szCs w:val="32"/>
        </w:rPr>
        <w:t>1.综合办公室 ：</w:t>
      </w:r>
      <w:r>
        <w:rPr>
          <w:rFonts w:hint="eastAsia" w:ascii="仿宋" w:hAnsi="仿宋" w:eastAsia="仿宋" w:cs="仿宋"/>
          <w:sz w:val="32"/>
          <w:szCs w:val="32"/>
          <w:lang w:val="zh-CN"/>
        </w:rPr>
        <w:t>负责公文、党务、人事、财务、工会、对外接待、对外宣传、安全生产、后勤保障、对外联络等工作。</w:t>
      </w:r>
    </w:p>
    <w:p>
      <w:pPr>
        <w:snapToGrid w:val="0"/>
        <w:spacing w:line="520" w:lineRule="exact"/>
        <w:ind w:firstLine="960" w:firstLineChars="300"/>
        <w:rPr>
          <w:rFonts w:ascii="仿宋" w:hAnsi="仿宋" w:eastAsia="仿宋" w:cs="仿宋"/>
          <w:sz w:val="32"/>
          <w:szCs w:val="32"/>
        </w:rPr>
      </w:pPr>
      <w:r>
        <w:rPr>
          <w:rFonts w:hint="eastAsia" w:ascii="仿宋" w:hAnsi="仿宋" w:eastAsia="仿宋" w:cs="仿宋"/>
          <w:sz w:val="32"/>
          <w:szCs w:val="32"/>
        </w:rPr>
        <w:t>2.通讯调度科：</w:t>
      </w:r>
      <w:r>
        <w:rPr>
          <w:rFonts w:hint="eastAsia" w:ascii="仿宋" w:hAnsi="仿宋" w:eastAsia="仿宋" w:cs="仿宋"/>
          <w:sz w:val="32"/>
          <w:szCs w:val="32"/>
          <w:lang w:val="zh-CN"/>
        </w:rPr>
        <w:t>负责24小时接收全市</w:t>
      </w:r>
      <w:r>
        <w:rPr>
          <w:rFonts w:hint="eastAsia" w:ascii="仿宋" w:hAnsi="仿宋" w:eastAsia="仿宋" w:cs="仿宋"/>
          <w:sz w:val="32"/>
          <w:szCs w:val="32"/>
        </w:rPr>
        <w:t>120急救</w:t>
      </w:r>
      <w:r>
        <w:rPr>
          <w:rFonts w:hint="eastAsia" w:ascii="仿宋" w:hAnsi="仿宋" w:eastAsia="仿宋" w:cs="仿宋"/>
          <w:sz w:val="32"/>
          <w:szCs w:val="32"/>
          <w:lang w:val="zh-CN"/>
        </w:rPr>
        <w:t>电话</w:t>
      </w:r>
      <w:r>
        <w:rPr>
          <w:rFonts w:hint="eastAsia" w:ascii="仿宋" w:hAnsi="仿宋" w:eastAsia="仿宋" w:cs="仿宋"/>
          <w:sz w:val="32"/>
          <w:szCs w:val="32"/>
        </w:rPr>
        <w:t>，做好日常急救和突发事件的</w:t>
      </w:r>
      <w:r>
        <w:rPr>
          <w:rFonts w:hint="eastAsia" w:ascii="仿宋" w:hAnsi="仿宋" w:eastAsia="仿宋" w:cs="仿宋"/>
          <w:sz w:val="32"/>
          <w:szCs w:val="32"/>
          <w:lang w:val="zh-CN"/>
        </w:rPr>
        <w:t>受理、调度、指挥</w:t>
      </w:r>
      <w:r>
        <w:rPr>
          <w:rFonts w:hint="eastAsia" w:ascii="仿宋" w:hAnsi="仿宋" w:eastAsia="仿宋" w:cs="仿宋"/>
          <w:sz w:val="32"/>
          <w:szCs w:val="32"/>
        </w:rPr>
        <w:t>和</w:t>
      </w:r>
      <w:r>
        <w:rPr>
          <w:rFonts w:hint="eastAsia" w:ascii="仿宋" w:hAnsi="仿宋" w:eastAsia="仿宋" w:cs="仿宋"/>
          <w:sz w:val="32"/>
          <w:szCs w:val="32"/>
          <w:lang w:val="zh-CN"/>
        </w:rPr>
        <w:t>协调</w:t>
      </w:r>
      <w:r>
        <w:rPr>
          <w:rFonts w:hint="eastAsia" w:ascii="仿宋" w:hAnsi="仿宋" w:eastAsia="仿宋" w:cs="仿宋"/>
          <w:sz w:val="32"/>
          <w:szCs w:val="32"/>
        </w:rPr>
        <w:t>处置工作。</w:t>
      </w:r>
    </w:p>
    <w:p>
      <w:pPr>
        <w:snapToGrid w:val="0"/>
        <w:spacing w:line="520" w:lineRule="exact"/>
        <w:ind w:firstLine="960" w:firstLineChars="300"/>
        <w:rPr>
          <w:rFonts w:ascii="仿宋" w:hAnsi="仿宋" w:eastAsia="仿宋" w:cs="仿宋"/>
          <w:sz w:val="32"/>
          <w:szCs w:val="32"/>
        </w:rPr>
      </w:pPr>
      <w:r>
        <w:rPr>
          <w:rFonts w:hint="eastAsia" w:ascii="仿宋" w:hAnsi="仿宋" w:eastAsia="仿宋" w:cs="仿宋"/>
          <w:sz w:val="32"/>
          <w:szCs w:val="32"/>
        </w:rPr>
        <w:t>3.急救医疗科：</w:t>
      </w:r>
      <w:r>
        <w:rPr>
          <w:rFonts w:hint="eastAsia" w:ascii="仿宋" w:hAnsi="仿宋" w:eastAsia="仿宋" w:cs="仿宋"/>
          <w:sz w:val="32"/>
          <w:szCs w:val="32"/>
          <w:lang w:val="zh-CN"/>
        </w:rPr>
        <w:t>负责院前急救，转运和重症病人转运途中监护工作，开展急救知识普及宣传活动，</w:t>
      </w:r>
      <w:r>
        <w:rPr>
          <w:rFonts w:hint="eastAsia" w:ascii="仿宋" w:hAnsi="仿宋" w:eastAsia="仿宋" w:cs="仿宋"/>
          <w:sz w:val="32"/>
          <w:szCs w:val="32"/>
        </w:rPr>
        <w:t>负责建设和运维120急救体验中心，以及培训室管理工作，协助重要会议和活动的</w:t>
      </w:r>
      <w:r>
        <w:rPr>
          <w:rFonts w:hint="eastAsia" w:ascii="仿宋" w:hAnsi="仿宋" w:eastAsia="仿宋" w:cs="仿宋"/>
          <w:sz w:val="32"/>
          <w:szCs w:val="32"/>
          <w:lang w:val="zh-CN"/>
        </w:rPr>
        <w:t>医疗保障工作，负责</w:t>
      </w:r>
      <w:r>
        <w:rPr>
          <w:rFonts w:hint="eastAsia" w:ascii="仿宋" w:hAnsi="仿宋" w:eastAsia="仿宋" w:cs="仿宋"/>
          <w:sz w:val="32"/>
          <w:szCs w:val="32"/>
        </w:rPr>
        <w:t>院前</w:t>
      </w:r>
      <w:r>
        <w:rPr>
          <w:rFonts w:hint="eastAsia" w:ascii="仿宋" w:hAnsi="仿宋" w:eastAsia="仿宋" w:cs="仿宋"/>
          <w:sz w:val="32"/>
          <w:szCs w:val="32"/>
          <w:lang w:val="zh-CN"/>
        </w:rPr>
        <w:t>急救设施设备和</w:t>
      </w:r>
      <w:r>
        <w:rPr>
          <w:rFonts w:hint="eastAsia" w:ascii="仿宋" w:hAnsi="仿宋" w:eastAsia="仿宋" w:cs="仿宋"/>
          <w:sz w:val="32"/>
          <w:szCs w:val="32"/>
        </w:rPr>
        <w:t>应急物资管理与维护，负责AED建设和维护。</w:t>
      </w:r>
    </w:p>
    <w:p>
      <w:pPr>
        <w:snapToGrid w:val="0"/>
        <w:spacing w:line="520" w:lineRule="exact"/>
        <w:ind w:firstLine="960" w:firstLineChars="300"/>
        <w:rPr>
          <w:rFonts w:ascii="仿宋" w:hAnsi="仿宋" w:eastAsia="仿宋" w:cs="仿宋"/>
          <w:sz w:val="32"/>
          <w:szCs w:val="32"/>
          <w:lang w:val="zh-CN"/>
        </w:rPr>
      </w:pPr>
      <w:r>
        <w:rPr>
          <w:rFonts w:hint="eastAsia" w:ascii="仿宋" w:hAnsi="仿宋" w:eastAsia="仿宋" w:cs="仿宋"/>
          <w:sz w:val="32"/>
          <w:szCs w:val="32"/>
        </w:rPr>
        <w:t>4.网络管理科：负责对急救分中心、120网络医院基础数据进行收集、整理、汇总、分析、保存，为院前急救网络站点建设和管理提供数据和依据，负责对急救分中心、120网络医院开展院前急救质量控制工作督查、检查和指导。</w:t>
      </w:r>
    </w:p>
    <w:p/>
    <w:p>
      <w:pPr>
        <w:pStyle w:val="3"/>
        <w:ind w:right="440"/>
        <w:jc w:val="center"/>
        <w:rPr>
          <w:rStyle w:val="30"/>
          <w:rFonts w:ascii="黑体" w:hAnsi="黑体" w:eastAsia="黑体"/>
          <w:b w:val="0"/>
          <w:bCs/>
        </w:rPr>
      </w:pPr>
      <w:bookmarkStart w:id="19" w:name="_Toc15396602"/>
      <w:bookmarkStart w:id="20" w:name="_Toc15377204"/>
      <w:bookmarkStart w:id="21" w:name="_Toc5450"/>
      <w:r>
        <w:rPr>
          <w:rFonts w:hint="eastAsia" w:ascii="黑体" w:hAnsi="黑体" w:eastAsia="黑体"/>
          <w:b w:val="0"/>
        </w:rPr>
        <w:t>第二部分 2024年度</w:t>
      </w:r>
      <w:r>
        <w:rPr>
          <w:rStyle w:val="30"/>
          <w:rFonts w:hint="eastAsia" w:ascii="黑体" w:hAnsi="黑体" w:eastAsia="黑体"/>
          <w:b w:val="0"/>
          <w:bCs/>
        </w:rPr>
        <w:t>单位决算情况说明</w:t>
      </w:r>
      <w:bookmarkEnd w:id="19"/>
      <w:bookmarkEnd w:id="20"/>
      <w:bookmarkEnd w:id="21"/>
    </w:p>
    <w:p/>
    <w:p>
      <w:pPr>
        <w:pStyle w:val="29"/>
        <w:spacing w:line="600" w:lineRule="exact"/>
        <w:ind w:left="638" w:leftChars="304" w:firstLine="0" w:firstLineChars="0"/>
        <w:outlineLvl w:val="1"/>
        <w:rPr>
          <w:rStyle w:val="31"/>
          <w:rFonts w:ascii="黑体" w:hAnsi="黑体" w:eastAsia="黑体"/>
          <w:b w:val="0"/>
        </w:rPr>
      </w:pPr>
      <w:bookmarkStart w:id="22" w:name="_Toc15377205"/>
      <w:bookmarkStart w:id="23" w:name="_Toc30145"/>
      <w:bookmarkStart w:id="24" w:name="_Toc15396603"/>
      <w:r>
        <w:rPr>
          <w:rFonts w:hint="eastAsia" w:ascii="黑体" w:hAnsi="黑体" w:eastAsia="黑体"/>
          <w:sz w:val="32"/>
          <w:szCs w:val="32"/>
        </w:rPr>
        <w:t>一、收</w:t>
      </w:r>
      <w:r>
        <w:rPr>
          <w:rStyle w:val="31"/>
          <w:rFonts w:hint="eastAsia" w:ascii="黑体" w:hAnsi="黑体" w:eastAsia="黑体"/>
          <w:b w:val="0"/>
        </w:rPr>
        <w:t>入支出决算总体情况说明</w:t>
      </w:r>
      <w:bookmarkEnd w:id="22"/>
      <w:bookmarkEnd w:id="23"/>
      <w:bookmarkEnd w:id="24"/>
    </w:p>
    <w:p>
      <w:pPr>
        <w:spacing w:line="600" w:lineRule="exact"/>
        <w:ind w:firstLine="640" w:firstLineChars="200"/>
        <w:rPr>
          <w:rFonts w:ascii="仿宋" w:hAnsi="仿宋" w:eastAsia="仿宋"/>
          <w:b/>
          <w:sz w:val="32"/>
          <w:szCs w:val="32"/>
        </w:rPr>
      </w:pPr>
      <w:r>
        <w:rPr>
          <w:rFonts w:hint="eastAsia" w:ascii="仿宋" w:hAnsi="仿宋" w:eastAsia="仿宋"/>
          <w:sz w:val="32"/>
          <w:szCs w:val="32"/>
        </w:rPr>
        <w:t>2024年度收、支总计458.33万元。与2023年相比，收、支总计各减少348.17万元，减少43.17</w:t>
      </w:r>
      <w:r>
        <w:rPr>
          <w:rFonts w:ascii="仿宋" w:hAnsi="仿宋" w:eastAsia="仿宋"/>
          <w:sz w:val="32"/>
          <w:szCs w:val="32"/>
        </w:rPr>
        <w:t>%</w:t>
      </w:r>
      <w:r>
        <w:rPr>
          <w:rFonts w:hint="eastAsia" w:ascii="仿宋" w:hAnsi="仿宋" w:eastAsia="仿宋"/>
          <w:sz w:val="32"/>
          <w:szCs w:val="32"/>
        </w:rPr>
        <w:t>。主要原因为2023年120指挥调度平台建设支出335.73万元，本年度无此笔支出。</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：收、支决算总计变动情况图）（柱状图）</w:t>
      </w:r>
    </w:p>
    <w:p>
      <w:pPr>
        <w:spacing w:line="600" w:lineRule="exact"/>
        <w:ind w:firstLine="640" w:firstLineChars="200"/>
        <w:jc w:val="left"/>
        <w:rPr>
          <w:rFonts w:ascii="仿宋_GB2312" w:eastAsia="仿宋_GB2312"/>
          <w:sz w:val="32"/>
          <w:szCs w:val="32"/>
        </w:rPr>
      </w:pPr>
    </w:p>
    <w:p>
      <w:pPr>
        <w:pStyle w:val="6"/>
        <w:spacing w:before="93"/>
        <w:rPr>
          <w:sz w:val="32"/>
          <w:szCs w:val="32"/>
        </w:rPr>
      </w:pPr>
      <w:r>
        <w:rPr>
          <w:rFonts w:hint="eastAsia" w:eastAsia="仿宋"/>
        </w:rPr>
        <w:object>
          <v:shape id="_x0000_i1025" o:spt="75" type="#_x0000_t75" style="height:227.85pt;width:466.3pt;" o:ole="t" filled="f" o:preferrelative="t" stroked="f" coordsize="21600,21600">
            <v:path/>
            <v:fill on="f" focussize="0,0"/>
            <v:stroke on="f" joinstyle="miter"/>
            <v:imagedata r:id="rId12" o:title="oleetimg_1745287448444030_809412608"/>
            <o:lock v:ext="edit" aspectratio="t"/>
            <w10:wrap type="none"/>
            <w10:anchorlock/>
          </v:shape>
          <o:OLEObject Type="Embed" ProgID="Excel.Sheet.8" ShapeID="_x0000_i1025" DrawAspect="Content" ObjectID="_1468075725" r:id="rId11">
            <o:LockedField>false</o:LockedField>
          </o:OLEObject>
        </w:object>
      </w:r>
    </w:p>
    <w:p>
      <w:pPr>
        <w:pStyle w:val="6"/>
        <w:spacing w:before="93"/>
        <w:rPr>
          <w:szCs w:val="30"/>
        </w:rPr>
      </w:pPr>
    </w:p>
    <w:p>
      <w:pPr>
        <w:pStyle w:val="6"/>
        <w:spacing w:before="93"/>
        <w:rPr>
          <w:sz w:val="32"/>
          <w:szCs w:val="32"/>
        </w:rPr>
      </w:pPr>
    </w:p>
    <w:p>
      <w:pPr>
        <w:pStyle w:val="6"/>
        <w:spacing w:before="93"/>
        <w:rPr>
          <w:sz w:val="32"/>
          <w:szCs w:val="32"/>
        </w:rPr>
      </w:pPr>
    </w:p>
    <w:p>
      <w:pPr>
        <w:pStyle w:val="29"/>
        <w:spacing w:line="600" w:lineRule="exact"/>
        <w:ind w:left="638" w:leftChars="304" w:firstLine="0" w:firstLineChars="0"/>
        <w:outlineLvl w:val="1"/>
        <w:rPr>
          <w:rStyle w:val="31"/>
          <w:rFonts w:ascii="黑体" w:hAnsi="黑体" w:eastAsia="黑体"/>
          <w:b w:val="0"/>
        </w:rPr>
      </w:pPr>
      <w:bookmarkStart w:id="25" w:name="_Toc15396604"/>
      <w:bookmarkStart w:id="26" w:name="_Toc15377206"/>
      <w:bookmarkStart w:id="27" w:name="_Toc5942"/>
      <w:r>
        <w:rPr>
          <w:rFonts w:hint="eastAsia" w:ascii="黑体" w:hAnsi="黑体" w:eastAsia="黑体"/>
          <w:sz w:val="32"/>
          <w:szCs w:val="32"/>
        </w:rPr>
        <w:t>二、收</w:t>
      </w:r>
      <w:r>
        <w:rPr>
          <w:rStyle w:val="31"/>
          <w:rFonts w:hint="eastAsia" w:ascii="黑体" w:hAnsi="黑体" w:eastAsia="黑体"/>
          <w:b w:val="0"/>
        </w:rPr>
        <w:t>入决算情况说明</w:t>
      </w:r>
      <w:bookmarkEnd w:id="25"/>
      <w:bookmarkEnd w:id="26"/>
      <w:bookmarkEnd w:id="27"/>
    </w:p>
    <w:p>
      <w:pPr>
        <w:spacing w:line="600" w:lineRule="exact"/>
        <w:ind w:firstLine="640" w:firstLineChars="200"/>
        <w:outlineLvl w:val="1"/>
        <w:rPr>
          <w:rFonts w:ascii="仿宋" w:hAnsi="仿宋" w:eastAsia="仿宋"/>
          <w:sz w:val="32"/>
          <w:szCs w:val="32"/>
        </w:rPr>
      </w:pPr>
      <w:bookmarkStart w:id="28" w:name="_Toc11062"/>
      <w:r>
        <w:rPr>
          <w:rFonts w:hint="eastAsia" w:ascii="仿宋" w:hAnsi="仿宋" w:eastAsia="仿宋"/>
          <w:sz w:val="32"/>
          <w:szCs w:val="32"/>
        </w:rPr>
        <w:t>2024年本年收入合计458.33万元，其中：一般公共预算财政拨款收入458.33万元，占100</w:t>
      </w:r>
      <w:r>
        <w:rPr>
          <w:rFonts w:ascii="仿宋" w:hAnsi="仿宋" w:eastAsia="仿宋"/>
          <w:sz w:val="32"/>
          <w:szCs w:val="32"/>
        </w:rPr>
        <w:t>%</w:t>
      </w:r>
      <w:r>
        <w:rPr>
          <w:rFonts w:hint="eastAsia" w:ascii="仿宋" w:hAnsi="仿宋" w:eastAsia="仿宋"/>
          <w:sz w:val="32"/>
          <w:szCs w:val="32"/>
        </w:rPr>
        <w:t>；政府性基金预算财政拨款收入0万元，占0</w:t>
      </w:r>
      <w:r>
        <w:rPr>
          <w:rFonts w:ascii="仿宋" w:hAnsi="仿宋" w:eastAsia="仿宋"/>
          <w:sz w:val="32"/>
          <w:szCs w:val="32"/>
        </w:rPr>
        <w:t>%</w:t>
      </w:r>
      <w:r>
        <w:rPr>
          <w:rFonts w:hint="eastAsia" w:ascii="仿宋" w:hAnsi="仿宋" w:eastAsia="仿宋"/>
          <w:sz w:val="32"/>
          <w:szCs w:val="32"/>
        </w:rPr>
        <w:t>；国有资本经营预算财政拨款收入0万元，占0</w:t>
      </w:r>
      <w:r>
        <w:rPr>
          <w:rFonts w:ascii="仿宋" w:hAnsi="仿宋" w:eastAsia="仿宋"/>
          <w:sz w:val="32"/>
          <w:szCs w:val="32"/>
        </w:rPr>
        <w:t>%</w:t>
      </w:r>
      <w:r>
        <w:rPr>
          <w:rFonts w:hint="eastAsia" w:ascii="仿宋" w:hAnsi="仿宋" w:eastAsia="仿宋"/>
          <w:sz w:val="32"/>
          <w:szCs w:val="32"/>
        </w:rPr>
        <w:t>；上级补助收入0万元，占0</w:t>
      </w:r>
      <w:r>
        <w:rPr>
          <w:rFonts w:ascii="仿宋" w:hAnsi="仿宋" w:eastAsia="仿宋"/>
          <w:sz w:val="32"/>
          <w:szCs w:val="32"/>
        </w:rPr>
        <w:t>%</w:t>
      </w:r>
      <w:r>
        <w:rPr>
          <w:rFonts w:hint="eastAsia" w:ascii="仿宋" w:hAnsi="仿宋" w:eastAsia="仿宋"/>
          <w:sz w:val="32"/>
          <w:szCs w:val="32"/>
        </w:rPr>
        <w:t>；事业收入0万元，占0</w:t>
      </w:r>
      <w:r>
        <w:rPr>
          <w:rFonts w:ascii="仿宋" w:hAnsi="仿宋" w:eastAsia="仿宋"/>
          <w:sz w:val="32"/>
          <w:szCs w:val="32"/>
        </w:rPr>
        <w:t>%</w:t>
      </w:r>
      <w:r>
        <w:rPr>
          <w:rFonts w:hint="eastAsia" w:ascii="仿宋" w:hAnsi="仿宋" w:eastAsia="仿宋"/>
          <w:sz w:val="32"/>
          <w:szCs w:val="32"/>
        </w:rPr>
        <w:t>；经营收入0万元，占0</w:t>
      </w:r>
      <w:r>
        <w:rPr>
          <w:rFonts w:ascii="仿宋" w:hAnsi="仿宋" w:eastAsia="仿宋"/>
          <w:sz w:val="32"/>
          <w:szCs w:val="32"/>
        </w:rPr>
        <w:t>%</w:t>
      </w:r>
      <w:r>
        <w:rPr>
          <w:rFonts w:hint="eastAsia" w:ascii="仿宋" w:hAnsi="仿宋" w:eastAsia="仿宋"/>
          <w:sz w:val="32"/>
          <w:szCs w:val="32"/>
        </w:rPr>
        <w:t>；附属单位上缴收入0万元，占0</w:t>
      </w:r>
      <w:r>
        <w:rPr>
          <w:rFonts w:ascii="仿宋" w:hAnsi="仿宋" w:eastAsia="仿宋"/>
          <w:sz w:val="32"/>
          <w:szCs w:val="32"/>
        </w:rPr>
        <w:t>%</w:t>
      </w:r>
      <w:r>
        <w:rPr>
          <w:rFonts w:hint="eastAsia" w:ascii="仿宋" w:hAnsi="仿宋" w:eastAsia="仿宋"/>
          <w:sz w:val="32"/>
          <w:szCs w:val="32"/>
        </w:rPr>
        <w:t>；其他收入0万元，占0</w:t>
      </w:r>
      <w:r>
        <w:rPr>
          <w:rFonts w:ascii="仿宋" w:hAnsi="仿宋" w:eastAsia="仿宋"/>
          <w:sz w:val="32"/>
          <w:szCs w:val="32"/>
        </w:rPr>
        <w:t>%</w:t>
      </w:r>
      <w:r>
        <w:rPr>
          <w:rFonts w:hint="eastAsia" w:ascii="仿宋" w:hAnsi="仿宋" w:eastAsia="仿宋"/>
          <w:sz w:val="32"/>
          <w:szCs w:val="32"/>
        </w:rPr>
        <w:t>。</w:t>
      </w:r>
      <w:bookmarkEnd w:id="28"/>
    </w:p>
    <w:p>
      <w:pPr>
        <w:spacing w:line="600" w:lineRule="exact"/>
        <w:rPr>
          <w:rFonts w:ascii="仿宋" w:hAnsi="仿宋" w:eastAsia="仿宋"/>
          <w:sz w:val="32"/>
          <w:szCs w:val="32"/>
        </w:rPr>
      </w:pPr>
      <w:r>
        <w:rPr>
          <w:rFonts w:eastAsia="仿宋_GB2312"/>
          <w:bCs/>
          <w:sz w:val="32"/>
          <w:szCs w:val="32"/>
        </w:rPr>
        <w:pict>
          <v:shape id="Object 4" o:spid="_x0000_s1027" o:spt="75" type="#_x0000_t75" style="position:absolute;left:0pt;margin-left:9.9pt;margin-top:27.1pt;height:222.75pt;width:424.45pt;z-index:251659264;mso-width-relative:page;mso-height-relative:page;" o:ole="t" filled="f" o:preferrelative="t" stroked="f" coordsize="21600,21600">
            <v:path/>
            <v:fill on="f" focussize="0,0"/>
            <v:stroke on="f" joinstyle="miter"/>
            <v:imagedata r:id="rId14" o:title="oleetimg_1745287863376273_800789504"/>
            <o:lock v:ext="edit" aspectratio="t"/>
          </v:shape>
          <o:OLEObject Type="Embed" ProgID="Excel.Sheet.12" ShapeID="Object 4" DrawAspect="Content" ObjectID="_1468075726" r:id="rId13">
            <o:LockedField>false</o:LockedField>
          </o:OLEObject>
        </w:pict>
      </w:r>
      <w:r>
        <w:rPr>
          <w:rFonts w:hint="eastAsia" w:ascii="仿宋" w:hAnsi="仿宋" w:eastAsia="仿宋"/>
          <w:sz w:val="32"/>
          <w:szCs w:val="32"/>
        </w:rPr>
        <w:t>（图2：收入决算结构图）（饼状图）</w:t>
      </w:r>
    </w:p>
    <w:p>
      <w:pPr>
        <w:spacing w:line="600" w:lineRule="exact"/>
        <w:ind w:firstLine="640" w:firstLineChars="200"/>
        <w:rPr>
          <w:rFonts w:ascii="仿宋_GB2312" w:eastAsia="仿宋_GB2312"/>
          <w:sz w:val="32"/>
          <w:szCs w:val="32"/>
        </w:rPr>
      </w:pPr>
    </w:p>
    <w:p>
      <w:pPr>
        <w:pStyle w:val="6"/>
        <w:spacing w:before="93"/>
        <w:rPr>
          <w:sz w:val="32"/>
          <w:szCs w:val="32"/>
        </w:rPr>
      </w:pPr>
    </w:p>
    <w:p>
      <w:pPr>
        <w:pStyle w:val="6"/>
        <w:spacing w:before="93"/>
        <w:rPr>
          <w:sz w:val="32"/>
          <w:szCs w:val="32"/>
        </w:rPr>
      </w:pPr>
    </w:p>
    <w:p>
      <w:pPr>
        <w:pStyle w:val="6"/>
        <w:spacing w:before="93"/>
        <w:rPr>
          <w:sz w:val="32"/>
          <w:szCs w:val="32"/>
        </w:rPr>
      </w:pPr>
    </w:p>
    <w:p>
      <w:pPr>
        <w:pStyle w:val="6"/>
        <w:tabs>
          <w:tab w:val="left" w:pos="7628"/>
        </w:tabs>
        <w:spacing w:before="93"/>
        <w:rPr>
          <w:sz w:val="32"/>
          <w:szCs w:val="32"/>
        </w:rPr>
      </w:pPr>
      <w:r>
        <w:rPr>
          <w:rFonts w:hint="eastAsia"/>
          <w:sz w:val="32"/>
          <w:szCs w:val="32"/>
        </w:rPr>
        <w:tab/>
      </w:r>
    </w:p>
    <w:p>
      <w:pPr>
        <w:pStyle w:val="6"/>
        <w:tabs>
          <w:tab w:val="left" w:pos="7628"/>
        </w:tabs>
        <w:spacing w:before="93"/>
        <w:rPr>
          <w:sz w:val="32"/>
          <w:szCs w:val="32"/>
        </w:rPr>
      </w:pPr>
    </w:p>
    <w:p>
      <w:pPr>
        <w:pStyle w:val="29"/>
        <w:spacing w:line="600" w:lineRule="exact"/>
        <w:ind w:left="418" w:leftChars="199" w:firstLine="220" w:firstLineChars="69"/>
        <w:outlineLvl w:val="1"/>
        <w:rPr>
          <w:rStyle w:val="31"/>
          <w:rFonts w:ascii="黑体" w:hAnsi="黑体" w:eastAsia="黑体"/>
          <w:b w:val="0"/>
        </w:rPr>
      </w:pPr>
      <w:bookmarkStart w:id="29" w:name="_Toc15396605"/>
      <w:bookmarkStart w:id="30" w:name="_Toc15377207"/>
      <w:bookmarkStart w:id="31" w:name="_Toc1841"/>
      <w:r>
        <w:rPr>
          <w:rFonts w:hint="eastAsia" w:ascii="黑体" w:hAnsi="黑体" w:eastAsia="黑体"/>
          <w:sz w:val="32"/>
          <w:szCs w:val="32"/>
        </w:rPr>
        <w:t>三、支</w:t>
      </w:r>
      <w:r>
        <w:rPr>
          <w:rStyle w:val="31"/>
          <w:rFonts w:hint="eastAsia" w:ascii="黑体" w:hAnsi="黑体" w:eastAsia="黑体"/>
          <w:b w:val="0"/>
        </w:rPr>
        <w:t>出决算情况说明</w:t>
      </w:r>
      <w:bookmarkEnd w:id="29"/>
      <w:bookmarkEnd w:id="30"/>
      <w:bookmarkEnd w:id="31"/>
    </w:p>
    <w:p>
      <w:pPr>
        <w:spacing w:line="600" w:lineRule="exact"/>
        <w:ind w:firstLine="640" w:firstLineChars="200"/>
        <w:outlineLvl w:val="1"/>
        <w:rPr>
          <w:rFonts w:ascii="仿宋" w:hAnsi="仿宋" w:eastAsia="仿宋"/>
          <w:sz w:val="32"/>
          <w:szCs w:val="32"/>
        </w:rPr>
      </w:pPr>
      <w:bookmarkStart w:id="32" w:name="_Toc15799"/>
      <w:r>
        <w:rPr>
          <w:rFonts w:hint="eastAsia" w:ascii="仿宋" w:hAnsi="仿宋" w:eastAsia="仿宋"/>
          <w:sz w:val="32"/>
          <w:szCs w:val="32"/>
        </w:rPr>
        <w:t>2024年本年支出合计458.33万元，其中：基本支出409.15万元，占89.27</w:t>
      </w:r>
      <w:r>
        <w:rPr>
          <w:rFonts w:ascii="仿宋" w:hAnsi="仿宋" w:eastAsia="仿宋"/>
          <w:sz w:val="32"/>
          <w:szCs w:val="32"/>
        </w:rPr>
        <w:t>%</w:t>
      </w:r>
      <w:r>
        <w:rPr>
          <w:rFonts w:hint="eastAsia" w:ascii="仿宋" w:hAnsi="仿宋" w:eastAsia="仿宋"/>
          <w:sz w:val="32"/>
          <w:szCs w:val="32"/>
        </w:rPr>
        <w:t>；项目支出49.18万元，占10.73</w:t>
      </w:r>
      <w:r>
        <w:rPr>
          <w:rFonts w:ascii="仿宋" w:hAnsi="仿宋" w:eastAsia="仿宋"/>
          <w:sz w:val="32"/>
          <w:szCs w:val="32"/>
        </w:rPr>
        <w:t>%</w:t>
      </w:r>
      <w:r>
        <w:rPr>
          <w:rFonts w:hint="eastAsia" w:ascii="仿宋" w:hAnsi="仿宋" w:eastAsia="仿宋"/>
          <w:sz w:val="32"/>
          <w:szCs w:val="32"/>
        </w:rPr>
        <w:t>；上缴上级支出0万元，占0</w:t>
      </w:r>
      <w:r>
        <w:rPr>
          <w:rFonts w:ascii="仿宋" w:hAnsi="仿宋" w:eastAsia="仿宋"/>
          <w:sz w:val="32"/>
          <w:szCs w:val="32"/>
        </w:rPr>
        <w:t>%</w:t>
      </w:r>
      <w:r>
        <w:rPr>
          <w:rFonts w:hint="eastAsia" w:ascii="仿宋" w:hAnsi="仿宋" w:eastAsia="仿宋"/>
          <w:sz w:val="32"/>
          <w:szCs w:val="32"/>
        </w:rPr>
        <w:t>；经营支出0万元，占0</w:t>
      </w:r>
      <w:r>
        <w:rPr>
          <w:rFonts w:ascii="仿宋" w:hAnsi="仿宋" w:eastAsia="仿宋"/>
          <w:sz w:val="32"/>
          <w:szCs w:val="32"/>
        </w:rPr>
        <w:t>%</w:t>
      </w:r>
      <w:r>
        <w:rPr>
          <w:rFonts w:hint="eastAsia" w:ascii="仿宋" w:hAnsi="仿宋" w:eastAsia="仿宋"/>
          <w:sz w:val="32"/>
          <w:szCs w:val="32"/>
        </w:rPr>
        <w:t>；对附属单位补助支出0万元，占0</w:t>
      </w:r>
      <w:r>
        <w:rPr>
          <w:rFonts w:ascii="仿宋" w:hAnsi="仿宋" w:eastAsia="仿宋"/>
          <w:sz w:val="32"/>
          <w:szCs w:val="32"/>
        </w:rPr>
        <w:t>%</w:t>
      </w:r>
      <w:r>
        <w:rPr>
          <w:rFonts w:hint="eastAsia" w:ascii="仿宋" w:hAnsi="仿宋" w:eastAsia="仿宋"/>
          <w:sz w:val="32"/>
          <w:szCs w:val="32"/>
        </w:rPr>
        <w:t>。</w:t>
      </w:r>
      <w:bookmarkEnd w:id="32"/>
    </w:p>
    <w:p>
      <w:pPr>
        <w:spacing w:line="600" w:lineRule="exact"/>
        <w:ind w:firstLine="640" w:firstLineChars="200"/>
        <w:jc w:val="center"/>
        <w:rPr>
          <w:rFonts w:ascii="仿宋" w:hAnsi="仿宋" w:eastAsia="仿宋"/>
          <w:sz w:val="32"/>
          <w:szCs w:val="32"/>
        </w:rPr>
      </w:pPr>
      <w:r>
        <w:rPr>
          <w:rFonts w:eastAsia="仿宋_GB2312"/>
          <w:sz w:val="32"/>
          <w:szCs w:val="32"/>
        </w:rPr>
        <w:pict>
          <v:shape id="Object 6" o:spid="_x0000_s1028" o:spt="75" alt="oleetimg_1723425903414587_854665216" type="#_x0000_t75" style="position:absolute;left:0pt;margin-left:21.45pt;margin-top:28.6pt;height:176.75pt;width:393.6pt;z-index:251660288;mso-width-relative:page;mso-height-relative:page;" o:ole="t" filled="f" o:preferrelative="t" stroked="f" coordsize="21600,21600">
            <v:path/>
            <v:fill on="f" focussize="0,0"/>
            <v:stroke on="f" joinstyle="miter"/>
            <v:imagedata r:id="rId16" o:title="oleetimg_1745288987016795_800794624"/>
            <o:lock v:ext="edit" aspectratio="t"/>
          </v:shape>
          <o:OLEObject Type="Embed" ProgID="Excel.Sheet.12" ShapeID="Object 6" DrawAspect="Content" ObjectID="_1468075727" r:id="rId15">
            <o:LockedField>false</o:LockedField>
          </o:OLEObject>
        </w:pict>
      </w:r>
      <w:r>
        <w:rPr>
          <w:rFonts w:hint="eastAsia" w:ascii="仿宋" w:hAnsi="仿宋" w:eastAsia="仿宋"/>
          <w:sz w:val="32"/>
          <w:szCs w:val="32"/>
        </w:rPr>
        <w:t>（图3：支出决算结构图）（饼状图）</w:t>
      </w:r>
    </w:p>
    <w:p>
      <w:pPr>
        <w:spacing w:line="600" w:lineRule="exact"/>
        <w:ind w:firstLine="640" w:firstLineChars="200"/>
        <w:rPr>
          <w:rFonts w:ascii="仿宋_GB2312" w:eastAsia="仿宋_GB2312"/>
          <w:sz w:val="32"/>
          <w:szCs w:val="32"/>
        </w:rPr>
      </w:pPr>
    </w:p>
    <w:p>
      <w:pPr>
        <w:pStyle w:val="6"/>
        <w:spacing w:before="93"/>
        <w:rPr>
          <w:sz w:val="32"/>
          <w:szCs w:val="32"/>
        </w:rPr>
      </w:pPr>
    </w:p>
    <w:p>
      <w:pPr>
        <w:pStyle w:val="6"/>
        <w:spacing w:before="93"/>
        <w:rPr>
          <w:sz w:val="32"/>
          <w:szCs w:val="32"/>
        </w:rPr>
      </w:pPr>
    </w:p>
    <w:p>
      <w:pPr>
        <w:pStyle w:val="6"/>
        <w:spacing w:before="93"/>
        <w:rPr>
          <w:sz w:val="32"/>
          <w:szCs w:val="32"/>
        </w:rPr>
      </w:pPr>
    </w:p>
    <w:p>
      <w:pPr>
        <w:spacing w:line="600" w:lineRule="exact"/>
        <w:ind w:firstLine="640" w:firstLineChars="200"/>
        <w:rPr>
          <w:rFonts w:ascii="黑体" w:hAnsi="黑体" w:eastAsia="黑体"/>
          <w:sz w:val="32"/>
          <w:szCs w:val="32"/>
        </w:rPr>
      </w:pPr>
      <w:bookmarkStart w:id="33" w:name="_Toc15377208"/>
      <w:bookmarkStart w:id="34" w:name="_Toc15396606"/>
    </w:p>
    <w:p>
      <w:pPr>
        <w:spacing w:line="600" w:lineRule="exact"/>
        <w:ind w:firstLine="640" w:firstLineChars="200"/>
        <w:outlineLvl w:val="1"/>
        <w:rPr>
          <w:rFonts w:ascii="黑体" w:hAnsi="黑体" w:eastAsia="黑体"/>
          <w:sz w:val="32"/>
          <w:szCs w:val="32"/>
        </w:rPr>
      </w:pPr>
      <w:bookmarkStart w:id="35" w:name="_Toc17997"/>
    </w:p>
    <w:p>
      <w:pPr>
        <w:tabs>
          <w:tab w:val="left" w:pos="420"/>
        </w:tabs>
        <w:spacing w:line="600" w:lineRule="exact"/>
        <w:ind w:left="638" w:leftChars="304"/>
        <w:outlineLvl w:val="1"/>
        <w:rPr>
          <w:rStyle w:val="31"/>
          <w:rFonts w:ascii="黑体" w:hAnsi="黑体" w:eastAsia="黑体"/>
          <w:b w:val="0"/>
        </w:rPr>
      </w:pPr>
      <w:r>
        <w:rPr>
          <w:rFonts w:hint="eastAsia" w:ascii="黑体" w:hAnsi="黑体" w:eastAsia="黑体"/>
          <w:sz w:val="32"/>
          <w:szCs w:val="32"/>
        </w:rPr>
        <w:t>四、财</w:t>
      </w:r>
      <w:r>
        <w:rPr>
          <w:rStyle w:val="31"/>
          <w:rFonts w:hint="eastAsia" w:ascii="黑体" w:hAnsi="黑体" w:eastAsia="黑体"/>
          <w:b w:val="0"/>
        </w:rPr>
        <w:t>政拨款收入支出决算总体情况说明</w:t>
      </w:r>
      <w:bookmarkEnd w:id="33"/>
      <w:bookmarkEnd w:id="34"/>
      <w:bookmarkEnd w:id="35"/>
    </w:p>
    <w:p>
      <w:pPr>
        <w:spacing w:line="600" w:lineRule="exact"/>
        <w:ind w:firstLine="640" w:firstLineChars="200"/>
        <w:rPr>
          <w:rFonts w:ascii="仿宋" w:hAnsi="仿宋" w:eastAsia="仿宋"/>
          <w:sz w:val="32"/>
          <w:szCs w:val="32"/>
        </w:rPr>
      </w:pPr>
      <w:r>
        <w:rPr>
          <w:rFonts w:hint="eastAsia" w:ascii="仿宋" w:hAnsi="仿宋" w:eastAsia="仿宋"/>
          <w:sz w:val="32"/>
          <w:szCs w:val="32"/>
        </w:rPr>
        <w:t>2024年财政拨款收、支总计458.33万元。与2023年相比，财政拨款收、支总计各</w:t>
      </w:r>
      <w:r>
        <w:rPr>
          <w:rFonts w:hint="eastAsia" w:ascii="仿宋" w:hAnsi="仿宋" w:eastAsia="仿宋"/>
          <w:sz w:val="32"/>
          <w:szCs w:val="32"/>
          <w:lang w:eastAsia="zh-CN"/>
        </w:rPr>
        <w:t>减少</w:t>
      </w:r>
      <w:r>
        <w:rPr>
          <w:rFonts w:hint="eastAsia" w:ascii="仿宋" w:hAnsi="仿宋" w:eastAsia="仿宋"/>
          <w:sz w:val="32"/>
          <w:szCs w:val="32"/>
        </w:rPr>
        <w:t>348.06万元，减少43.16</w:t>
      </w:r>
      <w:r>
        <w:rPr>
          <w:rFonts w:ascii="仿宋" w:hAnsi="仿宋" w:eastAsia="仿宋"/>
          <w:sz w:val="32"/>
          <w:szCs w:val="32"/>
        </w:rPr>
        <w:t>%</w:t>
      </w:r>
      <w:r>
        <w:rPr>
          <w:rFonts w:hint="eastAsia" w:ascii="仿宋" w:hAnsi="仿宋" w:eastAsia="仿宋"/>
          <w:sz w:val="32"/>
          <w:szCs w:val="32"/>
        </w:rPr>
        <w:t>。主要原因为2023年120指挥调度平台建设支出335.73万元，本年度无此笔支出。</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（图4：财政拨款收、支决算总计变动情况）（柱状图）</w:t>
      </w:r>
    </w:p>
    <w:p>
      <w:pPr>
        <w:spacing w:line="600" w:lineRule="exact"/>
        <w:ind w:firstLine="640"/>
        <w:rPr>
          <w:rFonts w:ascii="仿宋" w:hAnsi="仿宋" w:eastAsia="仿宋"/>
          <w:b/>
          <w:sz w:val="32"/>
          <w:szCs w:val="32"/>
        </w:rPr>
      </w:pPr>
      <w:r>
        <w:rPr>
          <w:sz w:val="32"/>
          <w:szCs w:val="32"/>
        </w:rPr>
        <w:pict>
          <v:shape id="Object 8" o:spid="_x0000_s1029" o:spt="75" alt="oleetimg_1723426098978959_864801792" type="#_x0000_t75" style="position:absolute;left:0pt;margin-left:19.75pt;margin-top:1.3pt;height:150.3pt;width:369.55pt;z-index:251661312;mso-width-relative:page;mso-height-relative:page;" o:ole="t" filled="f" o:preferrelative="t" stroked="f" coordsize="21600,21600">
            <v:path/>
            <v:fill on="f" focussize="0,0"/>
            <v:stroke on="f" joinstyle="miter"/>
            <v:imagedata r:id="rId18" o:title="oleetimg_1745289345481577_800789504"/>
            <o:lock v:ext="edit" aspectratio="t"/>
          </v:shape>
          <o:OLEObject Type="Embed" ProgID="Excel.Sheet.12" ShapeID="Object 8" DrawAspect="Content" ObjectID="_1468075728" r:id="rId17">
            <o:LockedField>false</o:LockedField>
          </o:OLEObject>
        </w:pict>
      </w:r>
    </w:p>
    <w:p>
      <w:pPr>
        <w:pStyle w:val="6"/>
        <w:spacing w:before="93"/>
        <w:rPr>
          <w:rFonts w:ascii="仿宋" w:hAnsi="仿宋" w:eastAsia="仿宋"/>
          <w:b/>
          <w:sz w:val="32"/>
          <w:szCs w:val="32"/>
        </w:rPr>
      </w:pPr>
    </w:p>
    <w:p>
      <w:pPr>
        <w:pStyle w:val="6"/>
        <w:spacing w:before="93"/>
        <w:rPr>
          <w:rFonts w:ascii="仿宋" w:hAnsi="仿宋" w:eastAsia="仿宋"/>
          <w:b/>
          <w:sz w:val="32"/>
          <w:szCs w:val="32"/>
        </w:rPr>
      </w:pPr>
    </w:p>
    <w:p>
      <w:pPr>
        <w:pStyle w:val="6"/>
        <w:spacing w:before="93"/>
        <w:rPr>
          <w:rFonts w:ascii="仿宋" w:hAnsi="仿宋" w:eastAsia="仿宋"/>
          <w:b/>
          <w:sz w:val="32"/>
          <w:szCs w:val="32"/>
        </w:rPr>
      </w:pPr>
    </w:p>
    <w:p>
      <w:pPr>
        <w:pStyle w:val="6"/>
        <w:spacing w:before="93"/>
        <w:rPr>
          <w:rFonts w:ascii="仿宋" w:hAnsi="仿宋" w:eastAsia="仿宋"/>
          <w:b/>
          <w:sz w:val="32"/>
          <w:szCs w:val="32"/>
        </w:rPr>
      </w:pPr>
    </w:p>
    <w:p>
      <w:pPr>
        <w:tabs>
          <w:tab w:val="left" w:pos="420"/>
        </w:tabs>
        <w:spacing w:line="600" w:lineRule="exact"/>
        <w:ind w:left="638" w:leftChars="304" w:firstLine="176" w:firstLineChars="55"/>
        <w:outlineLvl w:val="1"/>
        <w:rPr>
          <w:rStyle w:val="31"/>
          <w:rFonts w:ascii="黑体" w:hAnsi="黑体" w:eastAsia="黑体"/>
          <w:b w:val="0"/>
        </w:rPr>
      </w:pPr>
      <w:bookmarkStart w:id="36" w:name="_Toc15377209"/>
      <w:bookmarkStart w:id="37" w:name="_Toc15396607"/>
      <w:bookmarkStart w:id="38" w:name="_Toc6373"/>
      <w:r>
        <w:rPr>
          <w:rFonts w:hint="eastAsia" w:ascii="黑体" w:hAnsi="黑体" w:eastAsia="黑体"/>
          <w:sz w:val="32"/>
          <w:szCs w:val="32"/>
        </w:rPr>
        <w:t>五、</w:t>
      </w:r>
      <w:r>
        <w:rPr>
          <w:rFonts w:hint="eastAsia" w:ascii="黑体" w:hAnsi="黑体" w:eastAsia="黑体"/>
          <w:b/>
          <w:sz w:val="32"/>
          <w:szCs w:val="32"/>
        </w:rPr>
        <w:t>一</w:t>
      </w:r>
      <w:r>
        <w:rPr>
          <w:rStyle w:val="31"/>
          <w:rFonts w:hint="eastAsia" w:ascii="黑体" w:hAnsi="黑体" w:eastAsia="黑体"/>
          <w:b w:val="0"/>
        </w:rPr>
        <w:t>般公共预算财政拨款支出决算情况说明</w:t>
      </w:r>
      <w:bookmarkEnd w:id="36"/>
      <w:bookmarkEnd w:id="37"/>
      <w:bookmarkEnd w:id="38"/>
    </w:p>
    <w:p>
      <w:pPr>
        <w:spacing w:line="600" w:lineRule="exact"/>
        <w:ind w:firstLine="642" w:firstLineChars="200"/>
        <w:outlineLvl w:val="2"/>
        <w:rPr>
          <w:rFonts w:ascii="仿宋" w:hAnsi="仿宋" w:eastAsia="仿宋"/>
          <w:b/>
          <w:sz w:val="32"/>
          <w:szCs w:val="32"/>
        </w:rPr>
      </w:pPr>
      <w:bookmarkStart w:id="39" w:name="_Toc15377210"/>
      <w:r>
        <w:rPr>
          <w:rFonts w:hint="eastAsia" w:ascii="仿宋" w:hAnsi="仿宋" w:eastAsia="仿宋"/>
          <w:b/>
          <w:sz w:val="32"/>
          <w:szCs w:val="32"/>
        </w:rPr>
        <w:t>（一）一般公共预算财政拨款支出决算总体情况</w:t>
      </w:r>
      <w:bookmarkEnd w:id="39"/>
    </w:p>
    <w:p>
      <w:pPr>
        <w:spacing w:line="600" w:lineRule="exact"/>
        <w:ind w:firstLine="640" w:firstLineChars="200"/>
        <w:rPr>
          <w:rFonts w:ascii="仿宋" w:hAnsi="仿宋" w:eastAsia="仿宋"/>
          <w:sz w:val="32"/>
          <w:szCs w:val="32"/>
        </w:rPr>
      </w:pPr>
      <w:r>
        <w:rPr>
          <w:rFonts w:hint="eastAsia" w:ascii="仿宋" w:hAnsi="仿宋" w:eastAsia="仿宋"/>
          <w:sz w:val="32"/>
          <w:szCs w:val="32"/>
        </w:rPr>
        <w:t>2024年一般公共预算财政拨款支出458.33万元，占年支出合计的100</w:t>
      </w:r>
      <w:r>
        <w:rPr>
          <w:rFonts w:ascii="仿宋" w:hAnsi="仿宋" w:eastAsia="仿宋"/>
          <w:sz w:val="32"/>
          <w:szCs w:val="32"/>
        </w:rPr>
        <w:t>%</w:t>
      </w:r>
      <w:r>
        <w:rPr>
          <w:rFonts w:hint="eastAsia" w:ascii="仿宋" w:hAnsi="仿宋" w:eastAsia="仿宋"/>
          <w:sz w:val="32"/>
          <w:szCs w:val="32"/>
        </w:rPr>
        <w:t>。与2023年相比，一般公共预算财政拨款支出减少384.06万元，减少43.16%，为本年度无120指挥调度平台建设支出。</w:t>
      </w:r>
    </w:p>
    <w:p>
      <w:pPr>
        <w:spacing w:line="600" w:lineRule="exact"/>
        <w:ind w:firstLine="640" w:firstLineChars="200"/>
        <w:rPr>
          <w:rFonts w:ascii="仿宋" w:hAnsi="仿宋" w:eastAsia="仿宋"/>
          <w:sz w:val="32"/>
          <w:szCs w:val="32"/>
        </w:rPr>
      </w:pPr>
      <w:r>
        <w:rPr>
          <w:bCs/>
          <w:sz w:val="32"/>
          <w:szCs w:val="32"/>
        </w:rPr>
        <w:pict>
          <v:shape id="Object 10" o:spid="_x0000_s1030" o:spt="75" alt="oleetimg_1723426650310587_864801792" type="#_x0000_t75" style="position:absolute;left:0pt;margin-left:47.25pt;margin-top:47.65pt;height:148.75pt;width:355.9pt;z-index:251662336;mso-width-relative:page;mso-height-relative:page;" o:ole="t" filled="f" o:preferrelative="t" stroked="f" coordsize="21600,21600">
            <v:path/>
            <v:fill on="f" focussize="0,0"/>
            <v:stroke on="f" joinstyle="miter"/>
            <v:imagedata r:id="rId20" o:title="oleetimg_1745289506234991_800789504"/>
            <o:lock v:ext="edit" aspectratio="t"/>
          </v:shape>
          <o:OLEObject Type="Embed" ProgID="Excel.Sheet.12" ShapeID="Object 10" DrawAspect="Content" ObjectID="_1468075729" r:id="rId19">
            <o:LockedField>false</o:LockedField>
          </o:OLEObject>
        </w:pict>
      </w:r>
      <w:r>
        <w:rPr>
          <w:rFonts w:hint="eastAsia" w:ascii="仿宋" w:hAnsi="仿宋" w:eastAsia="仿宋"/>
          <w:sz w:val="32"/>
          <w:szCs w:val="32"/>
        </w:rPr>
        <w:t>（图5：一般公共预算财政拨款支出决算变动情况）（柱状图）</w:t>
      </w:r>
    </w:p>
    <w:p>
      <w:pPr>
        <w:spacing w:line="600" w:lineRule="exact"/>
        <w:ind w:firstLine="640" w:firstLineChars="200"/>
        <w:rPr>
          <w:rFonts w:ascii="仿宋" w:hAnsi="仿宋" w:eastAsia="仿宋"/>
          <w:sz w:val="32"/>
          <w:szCs w:val="32"/>
        </w:rPr>
      </w:pPr>
    </w:p>
    <w:p>
      <w:pPr>
        <w:spacing w:line="600" w:lineRule="exact"/>
        <w:ind w:firstLine="640" w:firstLineChars="200"/>
        <w:rPr>
          <w:rFonts w:ascii="仿宋" w:hAnsi="仿宋" w:eastAsia="仿宋"/>
          <w:sz w:val="32"/>
          <w:szCs w:val="32"/>
        </w:rPr>
      </w:pPr>
    </w:p>
    <w:p>
      <w:pPr>
        <w:pStyle w:val="6"/>
        <w:spacing w:before="93"/>
        <w:rPr>
          <w:rFonts w:ascii="仿宋" w:hAnsi="仿宋" w:eastAsia="仿宋"/>
          <w:sz w:val="32"/>
          <w:szCs w:val="32"/>
        </w:rPr>
      </w:pPr>
    </w:p>
    <w:p>
      <w:pPr>
        <w:pStyle w:val="6"/>
        <w:spacing w:before="93"/>
        <w:rPr>
          <w:rFonts w:ascii="仿宋" w:hAnsi="仿宋" w:eastAsia="仿宋"/>
          <w:sz w:val="32"/>
          <w:szCs w:val="32"/>
        </w:rPr>
      </w:pPr>
    </w:p>
    <w:p>
      <w:pPr>
        <w:spacing w:line="600" w:lineRule="exact"/>
        <w:outlineLvl w:val="2"/>
        <w:rPr>
          <w:rFonts w:ascii="仿宋" w:hAnsi="仿宋" w:eastAsia="仿宋"/>
          <w:b/>
          <w:sz w:val="32"/>
          <w:szCs w:val="32"/>
        </w:rPr>
      </w:pPr>
      <w:bookmarkStart w:id="40" w:name="_Toc15377211"/>
      <w:r>
        <w:rPr>
          <w:rFonts w:hint="eastAsia" w:ascii="仿宋" w:hAnsi="仿宋" w:eastAsia="仿宋"/>
          <w:b/>
          <w:sz w:val="32"/>
          <w:szCs w:val="32"/>
        </w:rPr>
        <w:t>（二）一般公共预算财政拨款支出决算结构情况</w:t>
      </w:r>
      <w:bookmarkEnd w:id="40"/>
    </w:p>
    <w:p>
      <w:pPr>
        <w:spacing w:line="600" w:lineRule="exact"/>
        <w:ind w:firstLine="640" w:firstLineChars="200"/>
        <w:rPr>
          <w:rFonts w:ascii="仿宋" w:hAnsi="仿宋" w:eastAsia="仿宋"/>
          <w:b/>
          <w:sz w:val="32"/>
          <w:szCs w:val="32"/>
        </w:rPr>
      </w:pPr>
      <w:r>
        <w:rPr>
          <w:rFonts w:hint="eastAsia" w:ascii="仿宋" w:hAnsi="仿宋" w:eastAsia="仿宋"/>
          <w:sz w:val="32"/>
          <w:szCs w:val="32"/>
        </w:rPr>
        <w:t>2024年一般公共预算财政拨款支出458.33万元，主要用于以下方面：</w:t>
      </w:r>
      <w:r>
        <w:rPr>
          <w:rFonts w:hint="eastAsia" w:ascii="仿宋" w:hAnsi="仿宋" w:eastAsia="仿宋"/>
          <w:b/>
          <w:sz w:val="32"/>
          <w:szCs w:val="32"/>
        </w:rPr>
        <w:t>一般公共服务</w:t>
      </w:r>
      <w:r>
        <w:rPr>
          <w:rFonts w:hint="eastAsia" w:ascii="仿宋" w:hAnsi="仿宋" w:eastAsia="仿宋"/>
          <w:b/>
          <w:bCs/>
          <w:sz w:val="32"/>
          <w:szCs w:val="32"/>
        </w:rPr>
        <w:t>支出</w:t>
      </w:r>
      <w:r>
        <w:rPr>
          <w:rFonts w:hint="eastAsia" w:ascii="仿宋" w:hAnsi="仿宋" w:eastAsia="仿宋"/>
          <w:sz w:val="32"/>
          <w:szCs w:val="32"/>
        </w:rPr>
        <w:t>0万元，占0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教育支出0</w:t>
      </w:r>
      <w:r>
        <w:rPr>
          <w:rFonts w:hint="eastAsia" w:ascii="仿宋" w:hAnsi="仿宋" w:eastAsia="仿宋"/>
          <w:sz w:val="32"/>
          <w:szCs w:val="32"/>
        </w:rPr>
        <w:t>万元，占0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科学技术</w:t>
      </w:r>
      <w:r>
        <w:rPr>
          <w:rFonts w:hint="eastAsia" w:ascii="仿宋" w:hAnsi="仿宋" w:eastAsia="仿宋"/>
          <w:b/>
          <w:bCs/>
          <w:sz w:val="32"/>
          <w:szCs w:val="32"/>
        </w:rPr>
        <w:t>支出</w:t>
      </w:r>
      <w:r>
        <w:rPr>
          <w:rFonts w:hint="eastAsia" w:ascii="仿宋" w:hAnsi="仿宋" w:eastAsia="仿宋"/>
          <w:sz w:val="32"/>
          <w:szCs w:val="32"/>
        </w:rPr>
        <w:t>0万元，占0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文化旅游体育与传媒支出</w:t>
      </w:r>
      <w:r>
        <w:rPr>
          <w:rFonts w:hint="eastAsia" w:ascii="仿宋" w:hAnsi="仿宋" w:eastAsia="仿宋"/>
          <w:sz w:val="32"/>
          <w:szCs w:val="32"/>
        </w:rPr>
        <w:t>0万元，占0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社会保障和就业（类）</w:t>
      </w:r>
      <w:r>
        <w:rPr>
          <w:rFonts w:hint="eastAsia" w:ascii="仿宋" w:hAnsi="仿宋" w:eastAsia="仿宋"/>
          <w:sz w:val="32"/>
          <w:szCs w:val="32"/>
        </w:rPr>
        <w:t>支出35.52万元，占7.75</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卫生健康（类）</w:t>
      </w:r>
      <w:r>
        <w:rPr>
          <w:rFonts w:hint="eastAsia" w:ascii="仿宋" w:hAnsi="仿宋" w:eastAsia="仿宋"/>
          <w:sz w:val="32"/>
          <w:szCs w:val="32"/>
        </w:rPr>
        <w:t>支出391.98万元，占85.53</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住房保障（类）</w:t>
      </w:r>
      <w:r>
        <w:rPr>
          <w:rFonts w:hint="eastAsia" w:ascii="仿宋" w:hAnsi="仿宋" w:eastAsia="仿宋"/>
          <w:sz w:val="32"/>
          <w:szCs w:val="32"/>
        </w:rPr>
        <w:t>支出30.82万元，占6.72</w:t>
      </w:r>
      <w:r>
        <w:rPr>
          <w:rFonts w:ascii="仿宋" w:hAnsi="仿宋" w:eastAsia="仿宋"/>
          <w:sz w:val="32"/>
          <w:szCs w:val="32"/>
        </w:rPr>
        <w:t>%</w:t>
      </w:r>
      <w:r>
        <w:rPr>
          <w:rFonts w:hint="eastAsia" w:ascii="仿宋" w:hAnsi="仿宋" w:eastAsia="仿宋"/>
          <w:sz w:val="32"/>
          <w:szCs w:val="32"/>
        </w:rPr>
        <w:t>。</w:t>
      </w:r>
    </w:p>
    <w:p>
      <w:pPr>
        <w:spacing w:line="600" w:lineRule="exact"/>
        <w:ind w:firstLine="640" w:firstLineChars="200"/>
        <w:rPr>
          <w:rFonts w:ascii="仿宋" w:hAnsi="仿宋" w:eastAsia="仿宋"/>
          <w:sz w:val="32"/>
          <w:szCs w:val="32"/>
        </w:rPr>
      </w:pPr>
      <w:r>
        <w:rPr>
          <w:rFonts w:eastAsia="仿宋_GB2312"/>
          <w:bCs/>
          <w:sz w:val="32"/>
          <w:szCs w:val="32"/>
        </w:rPr>
        <w:pict>
          <v:shape id="Object 11" o:spid="_x0000_s1031" o:spt="75" alt="oleetimg_1745289911486700_800789504" type="#_x0000_t75" style="position:absolute;left:0pt;margin-left:27.4pt;margin-top:42.05pt;height:176pt;width:423.4pt;z-index:251663360;mso-width-relative:page;mso-height-relative:page;" o:ole="t" filled="f" o:preferrelative="t" stroked="f" coordsize="21600,21600">
            <v:path/>
            <v:fill on="f" focussize="0,0"/>
            <v:stroke on="f"/>
            <v:imagedata r:id="rId22" o:title="oleetimg_1755048997126364_241180672"/>
            <o:lock v:ext="edit" aspectratio="t"/>
          </v:shape>
          <o:OLEObject Type="Embed" ProgID="Excel.Sheet.12" ShapeID="Object 11" DrawAspect="Content" ObjectID="_1468075730" r:id="rId21">
            <o:LockedField>false</o:LockedField>
          </o:OLEObject>
        </w:pict>
      </w:r>
      <w:r>
        <w:rPr>
          <w:rFonts w:hint="eastAsia" w:ascii="仿宋" w:hAnsi="仿宋" w:eastAsia="仿宋"/>
          <w:sz w:val="32"/>
          <w:szCs w:val="32"/>
        </w:rPr>
        <w:t>（图6：一般公共预算财政拨款支出决算结构）（饼状图）</w:t>
      </w:r>
    </w:p>
    <w:p>
      <w:pPr>
        <w:spacing w:line="600" w:lineRule="exact"/>
        <w:ind w:firstLine="640" w:firstLineChars="200"/>
        <w:rPr>
          <w:rFonts w:ascii="仿宋" w:hAnsi="仿宋" w:eastAsia="仿宋"/>
          <w:sz w:val="32"/>
          <w:szCs w:val="32"/>
        </w:rPr>
      </w:pPr>
    </w:p>
    <w:p>
      <w:pPr>
        <w:pStyle w:val="6"/>
        <w:spacing w:before="93"/>
        <w:rPr>
          <w:rFonts w:ascii="仿宋" w:hAnsi="仿宋" w:eastAsia="仿宋"/>
          <w:sz w:val="32"/>
          <w:szCs w:val="32"/>
        </w:rPr>
      </w:pPr>
    </w:p>
    <w:p>
      <w:pPr>
        <w:pStyle w:val="6"/>
        <w:spacing w:before="93"/>
        <w:rPr>
          <w:rFonts w:ascii="仿宋" w:hAnsi="仿宋" w:eastAsia="仿宋"/>
          <w:sz w:val="32"/>
          <w:szCs w:val="32"/>
        </w:rPr>
      </w:pPr>
    </w:p>
    <w:p>
      <w:pPr>
        <w:tabs>
          <w:tab w:val="left" w:pos="3990"/>
        </w:tabs>
        <w:spacing w:line="600" w:lineRule="exact"/>
        <w:outlineLvl w:val="2"/>
        <w:rPr>
          <w:rFonts w:ascii="仿宋" w:hAnsi="仿宋" w:eastAsia="仿宋"/>
          <w:b/>
          <w:sz w:val="32"/>
          <w:szCs w:val="32"/>
        </w:rPr>
      </w:pPr>
      <w:bookmarkStart w:id="41" w:name="_Toc15377212"/>
      <w:r>
        <w:rPr>
          <w:rFonts w:hint="eastAsia" w:ascii="仿宋" w:hAnsi="仿宋" w:eastAsia="仿宋"/>
          <w:b/>
          <w:sz w:val="32"/>
          <w:szCs w:val="32"/>
        </w:rPr>
        <w:t>（三）一般公共预算财政拨款支出决算具体情况</w:t>
      </w:r>
      <w:bookmarkEnd w:id="41"/>
    </w:p>
    <w:p>
      <w:pPr>
        <w:spacing w:line="600" w:lineRule="exact"/>
        <w:ind w:firstLine="640" w:firstLineChars="200"/>
        <w:outlineLvl w:val="1"/>
        <w:rPr>
          <w:rFonts w:ascii="仿宋" w:hAnsi="仿宋" w:eastAsia="仿宋"/>
          <w:bCs/>
          <w:sz w:val="32"/>
          <w:szCs w:val="32"/>
        </w:rPr>
      </w:pPr>
      <w:bookmarkStart w:id="42" w:name="_Toc15377213"/>
      <w:bookmarkStart w:id="43" w:name="_Toc2499"/>
      <w:bookmarkStart w:id="44" w:name="_Toc15377444"/>
      <w:bookmarkStart w:id="45" w:name="_Toc15378460"/>
      <w:r>
        <w:rPr>
          <w:rFonts w:hint="eastAsia" w:ascii="仿宋" w:hAnsi="仿宋" w:eastAsia="仿宋"/>
          <w:bCs/>
          <w:sz w:val="32"/>
          <w:szCs w:val="32"/>
        </w:rPr>
        <w:t>2024年一般公共预算支出决算数为458.33万元，预算数为465.23万元，</w:t>
      </w:r>
      <w:r>
        <w:rPr>
          <w:rStyle w:val="20"/>
          <w:rFonts w:hint="eastAsia" w:ascii="仿宋" w:hAnsi="仿宋" w:eastAsia="仿宋"/>
          <w:b w:val="0"/>
          <w:bCs/>
          <w:sz w:val="32"/>
          <w:szCs w:val="32"/>
        </w:rPr>
        <w:t>完成预算98.52</w:t>
      </w:r>
      <w:r>
        <w:rPr>
          <w:rStyle w:val="20"/>
          <w:rFonts w:ascii="仿宋" w:hAnsi="仿宋" w:eastAsia="仿宋"/>
          <w:b w:val="0"/>
          <w:bCs/>
          <w:sz w:val="32"/>
          <w:szCs w:val="32"/>
        </w:rPr>
        <w:t>%</w:t>
      </w:r>
      <w:r>
        <w:rPr>
          <w:rStyle w:val="20"/>
          <w:rFonts w:hint="eastAsia" w:ascii="仿宋" w:hAnsi="仿宋" w:eastAsia="仿宋"/>
          <w:b w:val="0"/>
          <w:bCs/>
          <w:sz w:val="32"/>
          <w:szCs w:val="32"/>
        </w:rPr>
        <w:t>，未完成部分为：单位人员因处罚扣除绩效及津补贴费用，故减少了部分人员经费的支出；公务接待费用支出也相应减少。其中：</w:t>
      </w:r>
      <w:bookmarkEnd w:id="42"/>
      <w:bookmarkEnd w:id="43"/>
      <w:bookmarkEnd w:id="44"/>
      <w:bookmarkEnd w:id="45"/>
    </w:p>
    <w:p>
      <w:pPr>
        <w:spacing w:line="600" w:lineRule="exact"/>
        <w:ind w:firstLine="642" w:firstLineChars="200"/>
        <w:rPr>
          <w:rFonts w:ascii="仿宋" w:hAnsi="仿宋" w:eastAsia="仿宋"/>
          <w:b/>
          <w:sz w:val="32"/>
          <w:szCs w:val="32"/>
        </w:rPr>
      </w:pPr>
      <w:r>
        <w:rPr>
          <w:rStyle w:val="20"/>
          <w:rFonts w:hint="eastAsia" w:ascii="仿宋" w:hAnsi="仿宋" w:eastAsia="仿宋"/>
          <w:bCs/>
          <w:sz w:val="32"/>
          <w:szCs w:val="32"/>
        </w:rPr>
        <w:t>1</w:t>
      </w:r>
      <w:r>
        <w:rPr>
          <w:rStyle w:val="20"/>
          <w:rFonts w:ascii="仿宋" w:hAnsi="仿宋" w:eastAsia="仿宋"/>
          <w:bCs/>
          <w:sz w:val="32"/>
          <w:szCs w:val="32"/>
        </w:rPr>
        <w:t>.</w:t>
      </w:r>
      <w:r>
        <w:rPr>
          <w:rStyle w:val="20"/>
          <w:rFonts w:hint="eastAsia" w:ascii="仿宋" w:hAnsi="仿宋" w:eastAsia="仿宋"/>
          <w:bCs/>
          <w:sz w:val="32"/>
          <w:szCs w:val="32"/>
        </w:rPr>
        <w:t>社会保障和就业（类）行政事业单位养老支出（款）机关事业单位基本养老保险缴费支出（项）：</w:t>
      </w:r>
      <w:r>
        <w:rPr>
          <w:rStyle w:val="20"/>
          <w:rFonts w:ascii="仿宋" w:hAnsi="仿宋" w:eastAsia="仿宋"/>
          <w:b w:val="0"/>
          <w:bCs/>
          <w:sz w:val="32"/>
          <w:szCs w:val="32"/>
        </w:rPr>
        <w:t xml:space="preserve"> </w:t>
      </w:r>
      <w:r>
        <w:rPr>
          <w:rStyle w:val="20"/>
          <w:rFonts w:hint="eastAsia" w:ascii="仿宋" w:hAnsi="仿宋" w:eastAsia="仿宋"/>
          <w:b w:val="0"/>
          <w:bCs/>
          <w:sz w:val="32"/>
          <w:szCs w:val="32"/>
        </w:rPr>
        <w:t>支出决算为35.52万元，完成预算99.98</w:t>
      </w:r>
      <w:r>
        <w:rPr>
          <w:rStyle w:val="20"/>
          <w:rFonts w:ascii="仿宋" w:hAnsi="仿宋" w:eastAsia="仿宋"/>
          <w:b w:val="0"/>
          <w:bCs/>
          <w:sz w:val="32"/>
          <w:szCs w:val="32"/>
        </w:rPr>
        <w:t>%</w:t>
      </w:r>
      <w:r>
        <w:rPr>
          <w:rStyle w:val="20"/>
          <w:rFonts w:hint="eastAsia" w:ascii="仿宋" w:hAnsi="仿宋" w:eastAsia="仿宋"/>
          <w:b w:val="0"/>
          <w:bCs/>
          <w:sz w:val="32"/>
          <w:szCs w:val="32"/>
        </w:rPr>
        <w:t>。未完成的主要原因为机关养老保险缴费基数有部分调整。</w:t>
      </w:r>
    </w:p>
    <w:p>
      <w:pPr>
        <w:spacing w:line="600" w:lineRule="exact"/>
        <w:ind w:firstLine="642" w:firstLineChars="200"/>
        <w:rPr>
          <w:rStyle w:val="20"/>
          <w:rFonts w:ascii="仿宋" w:hAnsi="仿宋" w:eastAsia="仿宋"/>
          <w:b w:val="0"/>
          <w:bCs/>
          <w:sz w:val="32"/>
          <w:szCs w:val="32"/>
        </w:rPr>
      </w:pPr>
      <w:r>
        <w:rPr>
          <w:rStyle w:val="20"/>
          <w:rFonts w:hint="eastAsia" w:ascii="仿宋" w:hAnsi="仿宋" w:eastAsia="仿宋"/>
          <w:bCs/>
          <w:sz w:val="32"/>
          <w:szCs w:val="32"/>
        </w:rPr>
        <w:t>2</w:t>
      </w:r>
      <w:r>
        <w:rPr>
          <w:rStyle w:val="20"/>
          <w:rFonts w:ascii="仿宋" w:hAnsi="仿宋" w:eastAsia="仿宋"/>
          <w:bCs/>
          <w:sz w:val="32"/>
          <w:szCs w:val="32"/>
        </w:rPr>
        <w:t>.</w:t>
      </w:r>
      <w:r>
        <w:rPr>
          <w:rStyle w:val="20"/>
          <w:rFonts w:hint="eastAsia" w:ascii="仿宋" w:hAnsi="仿宋" w:eastAsia="仿宋"/>
          <w:bCs/>
          <w:sz w:val="32"/>
          <w:szCs w:val="32"/>
        </w:rPr>
        <w:t>卫</w:t>
      </w:r>
      <w:r>
        <w:rPr>
          <w:rFonts w:hint="eastAsia" w:ascii="仿宋" w:hAnsi="仿宋" w:eastAsia="仿宋"/>
          <w:b/>
          <w:bCs/>
          <w:sz w:val="32"/>
          <w:szCs w:val="32"/>
        </w:rPr>
        <w:t>生健康支出</w:t>
      </w:r>
      <w:r>
        <w:rPr>
          <w:rStyle w:val="20"/>
          <w:rFonts w:hint="eastAsia" w:ascii="仿宋" w:hAnsi="仿宋" w:eastAsia="仿宋"/>
          <w:bCs/>
          <w:sz w:val="32"/>
          <w:szCs w:val="32"/>
        </w:rPr>
        <w:t>（类）公共卫生（款）应急救治机构（项）：</w:t>
      </w:r>
      <w:r>
        <w:rPr>
          <w:rStyle w:val="20"/>
          <w:rFonts w:hint="eastAsia" w:ascii="仿宋" w:hAnsi="仿宋" w:eastAsia="仿宋"/>
          <w:b w:val="0"/>
          <w:bCs/>
          <w:sz w:val="32"/>
          <w:szCs w:val="32"/>
        </w:rPr>
        <w:t>支出决算为351.75万元，完成预算98.30</w:t>
      </w:r>
      <w:r>
        <w:rPr>
          <w:rStyle w:val="20"/>
          <w:rFonts w:ascii="仿宋" w:hAnsi="仿宋" w:eastAsia="仿宋"/>
          <w:b w:val="0"/>
          <w:bCs/>
          <w:sz w:val="32"/>
          <w:szCs w:val="32"/>
        </w:rPr>
        <w:t>%</w:t>
      </w:r>
      <w:r>
        <w:rPr>
          <w:rStyle w:val="20"/>
          <w:rFonts w:hint="eastAsia" w:ascii="仿宋" w:hAnsi="仿宋" w:eastAsia="仿宋"/>
          <w:b w:val="0"/>
          <w:bCs/>
          <w:sz w:val="32"/>
          <w:szCs w:val="32"/>
        </w:rPr>
        <w:t>，未完成的主要原因为：单位人员因处罚扣除绩效及津补贴费用，故减少了部分人员经费的支出；公务接待费用支出也相应减少。</w:t>
      </w:r>
    </w:p>
    <w:p>
      <w:pPr>
        <w:spacing w:line="600" w:lineRule="exact"/>
        <w:ind w:firstLine="642" w:firstLineChars="200"/>
        <w:rPr>
          <w:rStyle w:val="20"/>
          <w:rFonts w:ascii="仿宋" w:hAnsi="仿宋" w:eastAsia="仿宋"/>
          <w:b w:val="0"/>
          <w:bCs/>
          <w:sz w:val="32"/>
          <w:szCs w:val="32"/>
        </w:rPr>
      </w:pPr>
      <w:r>
        <w:rPr>
          <w:rStyle w:val="20"/>
          <w:rFonts w:hint="eastAsia" w:ascii="仿宋" w:hAnsi="仿宋" w:eastAsia="仿宋"/>
          <w:bCs/>
          <w:sz w:val="32"/>
          <w:szCs w:val="32"/>
        </w:rPr>
        <w:t>3</w:t>
      </w:r>
      <w:r>
        <w:rPr>
          <w:rStyle w:val="20"/>
          <w:rFonts w:ascii="仿宋" w:hAnsi="仿宋" w:eastAsia="仿宋"/>
          <w:bCs/>
          <w:sz w:val="32"/>
          <w:szCs w:val="32"/>
        </w:rPr>
        <w:t>.</w:t>
      </w:r>
      <w:r>
        <w:rPr>
          <w:rFonts w:hint="eastAsia" w:ascii="仿宋" w:hAnsi="仿宋" w:eastAsia="仿宋"/>
          <w:b/>
          <w:bCs/>
          <w:sz w:val="32"/>
          <w:szCs w:val="32"/>
        </w:rPr>
        <w:t>卫生健康支出</w:t>
      </w:r>
      <w:r>
        <w:rPr>
          <w:rStyle w:val="20"/>
          <w:rFonts w:hint="eastAsia" w:ascii="仿宋" w:hAnsi="仿宋" w:eastAsia="仿宋"/>
          <w:bCs/>
          <w:sz w:val="32"/>
          <w:szCs w:val="32"/>
        </w:rPr>
        <w:t>（类）行政事业单位医疗（款）事业单位医疗（项）：</w:t>
      </w:r>
      <w:r>
        <w:rPr>
          <w:rStyle w:val="20"/>
          <w:rFonts w:hint="eastAsia" w:ascii="仿宋" w:hAnsi="仿宋" w:eastAsia="仿宋"/>
          <w:b w:val="0"/>
          <w:bCs/>
          <w:sz w:val="32"/>
          <w:szCs w:val="32"/>
        </w:rPr>
        <w:t>支出决算为15.24万元，完成预算98.90</w:t>
      </w:r>
      <w:r>
        <w:rPr>
          <w:rStyle w:val="20"/>
          <w:rFonts w:ascii="仿宋" w:hAnsi="仿宋" w:eastAsia="仿宋"/>
          <w:b w:val="0"/>
          <w:bCs/>
          <w:sz w:val="32"/>
          <w:szCs w:val="32"/>
        </w:rPr>
        <w:t>%</w:t>
      </w:r>
      <w:r>
        <w:rPr>
          <w:rStyle w:val="20"/>
          <w:rFonts w:hint="eastAsia" w:ascii="仿宋" w:hAnsi="仿宋" w:eastAsia="仿宋"/>
          <w:b w:val="0"/>
          <w:bCs/>
          <w:sz w:val="32"/>
          <w:szCs w:val="32"/>
        </w:rPr>
        <w:t>。未完成的主要原因为医疗保险缴费基数有部分调整。</w:t>
      </w:r>
    </w:p>
    <w:p>
      <w:pPr>
        <w:spacing w:line="600" w:lineRule="exact"/>
        <w:ind w:firstLine="642" w:firstLineChars="200"/>
      </w:pPr>
      <w:r>
        <w:rPr>
          <w:rStyle w:val="20"/>
          <w:rFonts w:hint="eastAsia" w:ascii="仿宋" w:hAnsi="仿宋" w:eastAsia="仿宋"/>
          <w:bCs/>
          <w:sz w:val="32"/>
          <w:szCs w:val="32"/>
        </w:rPr>
        <w:t>4</w:t>
      </w:r>
      <w:r>
        <w:rPr>
          <w:rStyle w:val="20"/>
          <w:rFonts w:ascii="仿宋" w:hAnsi="仿宋" w:eastAsia="仿宋"/>
          <w:bCs/>
          <w:sz w:val="32"/>
          <w:szCs w:val="32"/>
        </w:rPr>
        <w:t>.</w:t>
      </w:r>
      <w:r>
        <w:rPr>
          <w:rFonts w:hint="eastAsia" w:ascii="仿宋" w:hAnsi="仿宋" w:eastAsia="仿宋"/>
          <w:b/>
          <w:bCs/>
          <w:sz w:val="32"/>
          <w:szCs w:val="32"/>
        </w:rPr>
        <w:t>卫生健康支出</w:t>
      </w:r>
      <w:r>
        <w:rPr>
          <w:rStyle w:val="20"/>
          <w:rFonts w:hint="eastAsia" w:ascii="仿宋" w:hAnsi="仿宋" w:eastAsia="仿宋"/>
          <w:bCs/>
          <w:sz w:val="32"/>
          <w:szCs w:val="32"/>
        </w:rPr>
        <w:t>（类）其他卫生健康支出（款）其他卫生健康支出（项）：</w:t>
      </w:r>
      <w:r>
        <w:rPr>
          <w:rStyle w:val="20"/>
          <w:rFonts w:hint="eastAsia" w:ascii="仿宋" w:hAnsi="仿宋" w:eastAsia="仿宋"/>
          <w:b w:val="0"/>
          <w:bCs/>
          <w:sz w:val="32"/>
          <w:szCs w:val="32"/>
        </w:rPr>
        <w:t>支出决算为24.99万元，完成预算99.96</w:t>
      </w:r>
      <w:r>
        <w:rPr>
          <w:rStyle w:val="20"/>
          <w:rFonts w:ascii="仿宋" w:hAnsi="仿宋" w:eastAsia="仿宋"/>
          <w:b w:val="0"/>
          <w:bCs/>
          <w:sz w:val="32"/>
          <w:szCs w:val="32"/>
        </w:rPr>
        <w:t>%</w:t>
      </w:r>
      <w:r>
        <w:rPr>
          <w:rStyle w:val="20"/>
          <w:rFonts w:hint="eastAsia" w:ascii="仿宋" w:hAnsi="仿宋" w:eastAsia="仿宋"/>
          <w:b w:val="0"/>
          <w:bCs/>
          <w:sz w:val="32"/>
          <w:szCs w:val="32"/>
        </w:rPr>
        <w:t>。未完成主要原因为：支付金额根据实际需求情况支付，与预算有一定的误差。</w:t>
      </w:r>
    </w:p>
    <w:p>
      <w:pPr>
        <w:spacing w:line="600" w:lineRule="exact"/>
        <w:ind w:left="418" w:leftChars="199" w:firstLine="424" w:firstLineChars="132"/>
        <w:rPr>
          <w:rFonts w:ascii="黑体" w:hAnsi="黑体" w:eastAsia="黑体"/>
          <w:sz w:val="32"/>
          <w:szCs w:val="32"/>
        </w:rPr>
      </w:pPr>
      <w:r>
        <w:rPr>
          <w:rStyle w:val="20"/>
          <w:rFonts w:hint="eastAsia" w:ascii="仿宋" w:hAnsi="仿宋" w:eastAsia="仿宋"/>
          <w:bCs/>
          <w:sz w:val="32"/>
          <w:szCs w:val="32"/>
        </w:rPr>
        <w:t>5</w:t>
      </w:r>
      <w:r>
        <w:rPr>
          <w:rStyle w:val="20"/>
          <w:rFonts w:ascii="仿宋" w:hAnsi="仿宋" w:eastAsia="仿宋"/>
          <w:bCs/>
          <w:sz w:val="32"/>
          <w:szCs w:val="32"/>
        </w:rPr>
        <w:t>.</w:t>
      </w:r>
      <w:r>
        <w:rPr>
          <w:rStyle w:val="20"/>
          <w:rFonts w:ascii="仿宋" w:hAnsi="仿宋" w:eastAsia="仿宋" w:cs="仿宋"/>
          <w:bCs/>
          <w:sz w:val="32"/>
          <w:szCs w:val="32"/>
          <w:shd w:val="clear" w:color="auto" w:fill="FFFFFF"/>
        </w:rPr>
        <w:t>住房保障支出（类）住房改革支出（款）住房公积金（项）</w:t>
      </w:r>
      <w:r>
        <w:rPr>
          <w:rStyle w:val="20"/>
          <w:rFonts w:hint="eastAsia" w:ascii="仿宋" w:hAnsi="仿宋" w:eastAsia="仿宋" w:cs="仿宋"/>
          <w:bCs/>
          <w:sz w:val="32"/>
          <w:szCs w:val="32"/>
          <w:shd w:val="clear" w:color="auto" w:fill="FFFFFF"/>
        </w:rPr>
        <w:t>：</w:t>
      </w:r>
      <w:r>
        <w:rPr>
          <w:rStyle w:val="20"/>
          <w:rFonts w:ascii="仿宋" w:hAnsi="仿宋" w:eastAsia="仿宋"/>
          <w:b w:val="0"/>
          <w:bCs/>
          <w:sz w:val="32"/>
          <w:szCs w:val="32"/>
        </w:rPr>
        <w:t xml:space="preserve"> </w:t>
      </w:r>
      <w:r>
        <w:rPr>
          <w:rStyle w:val="20"/>
          <w:rFonts w:hint="eastAsia" w:ascii="仿宋" w:hAnsi="仿宋" w:eastAsia="仿宋"/>
          <w:b w:val="0"/>
          <w:bCs/>
          <w:sz w:val="32"/>
          <w:szCs w:val="32"/>
        </w:rPr>
        <w:t>支出决算为30.82万元，完成预算99.31</w:t>
      </w:r>
      <w:r>
        <w:rPr>
          <w:rStyle w:val="20"/>
          <w:rFonts w:ascii="仿宋" w:hAnsi="仿宋" w:eastAsia="仿宋"/>
          <w:b w:val="0"/>
          <w:bCs/>
          <w:sz w:val="32"/>
          <w:szCs w:val="32"/>
        </w:rPr>
        <w:t>%</w:t>
      </w:r>
      <w:r>
        <w:rPr>
          <w:rStyle w:val="20"/>
          <w:rFonts w:hint="eastAsia" w:ascii="仿宋" w:hAnsi="仿宋" w:eastAsia="仿宋"/>
          <w:b w:val="0"/>
          <w:bCs/>
          <w:sz w:val="32"/>
          <w:szCs w:val="32"/>
        </w:rPr>
        <w:t>，未完成的主要原因为住房公积金缴费基数有部分调整。</w:t>
      </w:r>
      <w:bookmarkStart w:id="46" w:name="_Toc17449"/>
      <w:bookmarkStart w:id="47" w:name="_Toc15396608"/>
      <w:bookmarkStart w:id="48" w:name="_Toc15377214"/>
      <w:r>
        <w:rPr>
          <w:rStyle w:val="20"/>
          <w:rFonts w:hint="eastAsia" w:ascii="仿宋" w:hAnsi="仿宋" w:eastAsia="仿宋"/>
          <w:b w:val="0"/>
          <w:bCs/>
          <w:sz w:val="32"/>
          <w:szCs w:val="32"/>
        </w:rPr>
        <w:t xml:space="preserve">                </w:t>
      </w:r>
      <w:r>
        <w:rPr>
          <w:rFonts w:hint="eastAsia" w:ascii="黑体" w:eastAsia="黑体"/>
          <w:b/>
          <w:sz w:val="32"/>
          <w:szCs w:val="32"/>
        </w:rPr>
        <w:t xml:space="preserve">                           </w:t>
      </w:r>
      <w:r>
        <w:rPr>
          <w:rFonts w:hint="eastAsia" w:ascii="黑体" w:hAnsi="黑体" w:eastAsia="黑体"/>
          <w:sz w:val="32"/>
          <w:szCs w:val="32"/>
        </w:rPr>
        <w:t>六、一般公共预算财政拨款基本支出决算情况说明</w:t>
      </w:r>
      <w:bookmarkEnd w:id="46"/>
      <w:bookmarkEnd w:id="47"/>
      <w:bookmarkEnd w:id="48"/>
      <w:r>
        <w:rPr>
          <w:rFonts w:hint="eastAsia" w:ascii="黑体" w:hAnsi="黑体" w:eastAsia="黑体"/>
          <w:sz w:val="32"/>
          <w:szCs w:val="32"/>
        </w:rPr>
        <w:tab/>
      </w:r>
    </w:p>
    <w:p>
      <w:pPr>
        <w:spacing w:line="600" w:lineRule="exact"/>
        <w:ind w:firstLine="645"/>
        <w:rPr>
          <w:rFonts w:ascii="仿宋" w:hAnsi="仿宋" w:eastAsia="仿宋"/>
          <w:sz w:val="32"/>
          <w:szCs w:val="32"/>
        </w:rPr>
      </w:pPr>
      <w:r>
        <w:rPr>
          <w:rFonts w:hint="eastAsia" w:ascii="仿宋" w:hAnsi="仿宋" w:eastAsia="仿宋"/>
          <w:sz w:val="32"/>
          <w:szCs w:val="32"/>
        </w:rPr>
        <w:t>2024年一般公共预算财政拨款基本支出409.15万元，其中：</w:t>
      </w:r>
    </w:p>
    <w:p>
      <w:pPr>
        <w:spacing w:line="600" w:lineRule="exact"/>
        <w:ind w:firstLine="645"/>
        <w:rPr>
          <w:rFonts w:ascii="仿宋" w:hAnsi="仿宋" w:eastAsia="仿宋"/>
          <w:sz w:val="32"/>
          <w:szCs w:val="32"/>
        </w:rPr>
      </w:pPr>
      <w:r>
        <w:rPr>
          <w:rFonts w:hint="eastAsia" w:ascii="仿宋" w:hAnsi="仿宋" w:eastAsia="仿宋"/>
          <w:sz w:val="32"/>
          <w:szCs w:val="32"/>
        </w:rPr>
        <w:t>人员经费364.65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pPr>
        <w:spacing w:line="600" w:lineRule="exact"/>
        <w:ind w:firstLine="640"/>
        <w:outlineLvl w:val="1"/>
        <w:rPr>
          <w:rFonts w:ascii="仿宋" w:hAnsi="仿宋" w:eastAsia="仿宋"/>
          <w:sz w:val="32"/>
          <w:szCs w:val="32"/>
        </w:rPr>
      </w:pPr>
      <w:r>
        <w:rPr>
          <w:rFonts w:hint="eastAsia" w:ascii="仿宋" w:hAnsi="仿宋" w:eastAsia="仿宋"/>
          <w:sz w:val="32"/>
          <w:szCs w:val="32"/>
        </w:rPr>
        <w:t>公用经费44.50万元，主要包括：</w:t>
      </w:r>
      <w:bookmarkStart w:id="49" w:name="_Toc15396609"/>
      <w:bookmarkStart w:id="50" w:name="_Toc15377215"/>
      <w:bookmarkStart w:id="51" w:name="_Toc22820"/>
      <w:r>
        <w:rPr>
          <w:rFonts w:hint="eastAsia" w:ascii="仿宋" w:hAnsi="仿宋" w:eastAsia="仿宋"/>
          <w:sz w:val="32"/>
          <w:szCs w:val="32"/>
        </w:rPr>
        <w:t>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bookmarkEnd w:id="49"/>
    <w:bookmarkEnd w:id="50"/>
    <w:bookmarkEnd w:id="51"/>
    <w:p>
      <w:pPr>
        <w:spacing w:line="600" w:lineRule="exact"/>
        <w:ind w:firstLine="640" w:firstLineChars="200"/>
        <w:outlineLvl w:val="1"/>
        <w:rPr>
          <w:rStyle w:val="31"/>
          <w:rFonts w:ascii="黑体" w:hAnsi="黑体" w:eastAsia="黑体"/>
          <w:b w:val="0"/>
        </w:rPr>
      </w:pPr>
      <w:r>
        <w:rPr>
          <w:rStyle w:val="31"/>
          <w:rFonts w:hint="eastAsia" w:ascii="黑体" w:hAnsi="黑体" w:eastAsia="黑体"/>
          <w:b w:val="0"/>
        </w:rPr>
        <w:t>七、财政拨款“三公”经费支出决算情况说明</w:t>
      </w:r>
    </w:p>
    <w:p>
      <w:pPr>
        <w:spacing w:line="600" w:lineRule="exact"/>
        <w:ind w:firstLine="642" w:firstLineChars="200"/>
        <w:outlineLvl w:val="2"/>
        <w:rPr>
          <w:rFonts w:ascii="仿宋" w:hAnsi="仿宋" w:eastAsia="仿宋"/>
          <w:b/>
          <w:sz w:val="32"/>
          <w:szCs w:val="32"/>
        </w:rPr>
      </w:pPr>
      <w:bookmarkStart w:id="52" w:name="_Toc15377216"/>
      <w:r>
        <w:rPr>
          <w:rFonts w:hint="eastAsia" w:ascii="仿宋" w:hAnsi="仿宋" w:eastAsia="仿宋"/>
          <w:b/>
          <w:sz w:val="32"/>
          <w:szCs w:val="32"/>
        </w:rPr>
        <w:t>（一）“三公”经费财政拨款支出决算总体情况说明</w:t>
      </w:r>
      <w:bookmarkEnd w:id="52"/>
    </w:p>
    <w:p>
      <w:pPr>
        <w:spacing w:line="600" w:lineRule="exact"/>
        <w:ind w:firstLine="640"/>
        <w:rPr>
          <w:rFonts w:ascii="仿宋" w:hAnsi="仿宋" w:eastAsia="仿宋"/>
          <w:sz w:val="32"/>
          <w:szCs w:val="32"/>
        </w:rPr>
      </w:pPr>
      <w:r>
        <w:rPr>
          <w:rFonts w:hint="eastAsia" w:ascii="仿宋" w:hAnsi="仿宋" w:eastAsia="仿宋"/>
          <w:sz w:val="32"/>
          <w:szCs w:val="32"/>
        </w:rPr>
        <w:t>2024年“三公”经费财政拨款支出决算为3.05万元，完成预算95.31</w:t>
      </w:r>
      <w:r>
        <w:rPr>
          <w:rFonts w:ascii="仿宋" w:hAnsi="仿宋" w:eastAsia="仿宋"/>
          <w:sz w:val="32"/>
          <w:szCs w:val="32"/>
        </w:rPr>
        <w:t>%</w:t>
      </w:r>
      <w:r>
        <w:rPr>
          <w:rFonts w:hint="eastAsia" w:ascii="仿宋" w:hAnsi="仿宋" w:eastAsia="仿宋"/>
          <w:sz w:val="32"/>
          <w:szCs w:val="32"/>
        </w:rPr>
        <w:t>。较上年度减少了0.15万元，变动原因是公务接待较上年度减少。</w:t>
      </w:r>
    </w:p>
    <w:p>
      <w:pPr>
        <w:spacing w:line="600" w:lineRule="exact"/>
        <w:ind w:firstLine="640"/>
        <w:outlineLvl w:val="2"/>
        <w:rPr>
          <w:rFonts w:ascii="仿宋" w:hAnsi="仿宋" w:eastAsia="仿宋"/>
          <w:b/>
          <w:sz w:val="32"/>
          <w:szCs w:val="32"/>
        </w:rPr>
      </w:pPr>
      <w:bookmarkStart w:id="53" w:name="_Toc15377217"/>
      <w:r>
        <w:rPr>
          <w:rFonts w:hint="eastAsia" w:ascii="仿宋" w:hAnsi="仿宋" w:eastAsia="仿宋"/>
          <w:b/>
          <w:sz w:val="32"/>
          <w:szCs w:val="32"/>
        </w:rPr>
        <w:t>（二）“三公”经费财政拨款支出决算具体情况说明</w:t>
      </w:r>
      <w:bookmarkEnd w:id="53"/>
    </w:p>
    <w:p>
      <w:pPr>
        <w:spacing w:line="600" w:lineRule="exact"/>
        <w:ind w:firstLine="640"/>
        <w:rPr>
          <w:rFonts w:ascii="仿宋" w:hAnsi="仿宋" w:eastAsia="仿宋"/>
          <w:sz w:val="32"/>
          <w:szCs w:val="32"/>
        </w:rPr>
      </w:pPr>
      <w:r>
        <w:rPr>
          <w:rFonts w:hint="eastAsia" w:ascii="仿宋" w:hAnsi="仿宋" w:eastAsia="仿宋"/>
          <w:sz w:val="32"/>
          <w:szCs w:val="32"/>
        </w:rPr>
        <w:t>2024年“三公”经费财政拨款支出决算中，因公出国（境）费支出决算0万元，占0</w:t>
      </w:r>
      <w:r>
        <w:rPr>
          <w:rFonts w:ascii="仿宋" w:hAnsi="仿宋" w:eastAsia="仿宋"/>
          <w:sz w:val="32"/>
          <w:szCs w:val="32"/>
        </w:rPr>
        <w:t>%</w:t>
      </w:r>
      <w:r>
        <w:rPr>
          <w:rFonts w:hint="eastAsia" w:ascii="仿宋" w:hAnsi="仿宋" w:eastAsia="仿宋"/>
          <w:sz w:val="32"/>
          <w:szCs w:val="32"/>
        </w:rPr>
        <w:t>；公务用车购置及运行维护费支出决算</w:t>
      </w:r>
      <w:r>
        <w:rPr>
          <w:rFonts w:hint="eastAsia" w:ascii="仿宋" w:hAnsi="仿宋" w:eastAsia="仿宋"/>
          <w:sz w:val="32"/>
          <w:szCs w:val="32"/>
          <w:lang w:val="en-US" w:eastAsia="zh-CN"/>
        </w:rPr>
        <w:t>2.99</w:t>
      </w:r>
      <w:r>
        <w:rPr>
          <w:rFonts w:hint="eastAsia" w:ascii="仿宋" w:hAnsi="仿宋" w:eastAsia="仿宋"/>
          <w:sz w:val="32"/>
          <w:szCs w:val="32"/>
        </w:rPr>
        <w:t>万元，占9</w:t>
      </w:r>
      <w:r>
        <w:rPr>
          <w:rFonts w:hint="eastAsia" w:ascii="仿宋" w:hAnsi="仿宋" w:eastAsia="仿宋"/>
          <w:sz w:val="32"/>
          <w:szCs w:val="32"/>
          <w:lang w:val="en-US" w:eastAsia="zh-CN"/>
        </w:rPr>
        <w:t>7.71</w:t>
      </w:r>
      <w:r>
        <w:rPr>
          <w:rFonts w:ascii="仿宋" w:hAnsi="仿宋" w:eastAsia="仿宋"/>
          <w:sz w:val="32"/>
          <w:szCs w:val="32"/>
        </w:rPr>
        <w:t>%</w:t>
      </w:r>
      <w:r>
        <w:rPr>
          <w:rFonts w:hint="eastAsia" w:ascii="仿宋" w:hAnsi="仿宋" w:eastAsia="仿宋"/>
          <w:sz w:val="32"/>
          <w:szCs w:val="32"/>
        </w:rPr>
        <w:t>；公务接待费支出决算</w:t>
      </w:r>
      <w:r>
        <w:rPr>
          <w:rFonts w:hint="eastAsia" w:ascii="仿宋" w:hAnsi="仿宋" w:eastAsia="仿宋"/>
          <w:sz w:val="32"/>
          <w:szCs w:val="32"/>
          <w:lang w:val="en-US" w:eastAsia="zh-CN"/>
        </w:rPr>
        <w:t>0.07</w:t>
      </w:r>
      <w:r>
        <w:rPr>
          <w:rFonts w:hint="eastAsia" w:ascii="仿宋" w:hAnsi="仿宋" w:eastAsia="仿宋"/>
          <w:sz w:val="32"/>
          <w:szCs w:val="32"/>
        </w:rPr>
        <w:t>万元，占</w:t>
      </w:r>
      <w:r>
        <w:rPr>
          <w:rFonts w:hint="eastAsia" w:ascii="仿宋" w:hAnsi="仿宋" w:eastAsia="仿宋"/>
          <w:sz w:val="32"/>
          <w:szCs w:val="32"/>
          <w:lang w:val="en-US" w:eastAsia="zh-CN"/>
        </w:rPr>
        <w:t>2.29</w:t>
      </w:r>
      <w:r>
        <w:rPr>
          <w:rFonts w:ascii="仿宋" w:hAnsi="仿宋" w:eastAsia="仿宋"/>
          <w:sz w:val="32"/>
          <w:szCs w:val="32"/>
        </w:rPr>
        <w:t>%</w:t>
      </w:r>
      <w:r>
        <w:rPr>
          <w:rFonts w:hint="eastAsia" w:ascii="仿宋" w:hAnsi="仿宋" w:eastAsia="仿宋"/>
          <w:sz w:val="32"/>
          <w:szCs w:val="32"/>
        </w:rPr>
        <w:t>。具体情况如下：</w:t>
      </w:r>
    </w:p>
    <w:p>
      <w:pPr>
        <w:spacing w:line="600" w:lineRule="exact"/>
        <w:ind w:firstLine="640"/>
        <w:rPr>
          <w:rFonts w:ascii="仿宋" w:hAnsi="仿宋" w:eastAsia="仿宋"/>
          <w:sz w:val="32"/>
          <w:szCs w:val="32"/>
        </w:rPr>
      </w:pPr>
      <w:r>
        <w:rPr>
          <w:rFonts w:hint="eastAsia" w:ascii="仿宋" w:hAnsi="仿宋" w:eastAsia="仿宋"/>
          <w:sz w:val="32"/>
          <w:szCs w:val="32"/>
        </w:rPr>
        <w:t>（图7：“三公”经费财政拨款支出结构）（饼状图）</w:t>
      </w:r>
    </w:p>
    <w:p>
      <w:pPr>
        <w:pStyle w:val="6"/>
        <w:spacing w:before="93"/>
        <w:rPr>
          <w:rFonts w:ascii="仿宋" w:hAnsi="仿宋" w:eastAsia="仿宋"/>
          <w:sz w:val="32"/>
          <w:szCs w:val="32"/>
        </w:rPr>
      </w:pPr>
      <w:r>
        <w:rPr>
          <w:rFonts w:ascii="Times New Roman"/>
          <w:bCs/>
          <w:sz w:val="32"/>
          <w:szCs w:val="32"/>
        </w:rPr>
        <w:pict>
          <v:shape id="Object 12" o:spid="_x0000_s1043" o:spt="75" alt="oleetimg_1723429173574161_864801792" type="#_x0000_t75" style="position:absolute;left:0pt;margin-left:8.75pt;margin-top:15.9pt;height:147.95pt;width:425.2pt;z-index:251668480;mso-width-relative:page;mso-height-relative:page;" o:ole="t" filled="f" o:preferrelative="t" stroked="f" coordsize="21600,21600">
            <v:path/>
            <v:fill on="f" focussize="0,0"/>
            <v:stroke on="f"/>
            <v:imagedata r:id="rId24" o:title="oleetimg_1755049773193508_294207488"/>
            <o:lock v:ext="edit" aspectratio="t"/>
          </v:shape>
          <o:OLEObject Type="Embed" ProgID="Excel.Sheet.12" ShapeID="Object 12" DrawAspect="Content" ObjectID="_1468075731" r:id="rId23">
            <o:LockedField>false</o:LockedField>
          </o:OLEObject>
        </w:pict>
      </w:r>
    </w:p>
    <w:p>
      <w:pPr>
        <w:pStyle w:val="6"/>
        <w:spacing w:before="93"/>
        <w:rPr>
          <w:rFonts w:ascii="仿宋" w:hAnsi="仿宋" w:eastAsia="仿宋"/>
          <w:sz w:val="32"/>
          <w:szCs w:val="32"/>
        </w:rPr>
      </w:pPr>
    </w:p>
    <w:p>
      <w:pPr>
        <w:pStyle w:val="6"/>
        <w:spacing w:before="93"/>
        <w:rPr>
          <w:rFonts w:ascii="Times New Roman"/>
          <w:bCs/>
          <w:sz w:val="32"/>
          <w:szCs w:val="32"/>
        </w:rPr>
      </w:pPr>
      <w:r>
        <w:rPr>
          <w:rFonts w:hint="eastAsia" w:ascii="Times New Roman"/>
          <w:bCs/>
          <w:sz w:val="32"/>
          <w:szCs w:val="32"/>
        </w:rPr>
        <w:t xml:space="preserve">   </w:t>
      </w:r>
    </w:p>
    <w:p>
      <w:pPr>
        <w:pStyle w:val="6"/>
        <w:spacing w:before="93"/>
        <w:rPr>
          <w:b/>
          <w:sz w:val="32"/>
          <w:szCs w:val="32"/>
        </w:rPr>
      </w:pPr>
    </w:p>
    <w:p>
      <w:pPr>
        <w:pStyle w:val="6"/>
        <w:spacing w:before="93"/>
        <w:rPr>
          <w:b/>
          <w:sz w:val="32"/>
          <w:szCs w:val="32"/>
        </w:rPr>
      </w:pPr>
    </w:p>
    <w:p>
      <w:pPr>
        <w:pStyle w:val="6"/>
        <w:numPr>
          <w:ilvl w:val="0"/>
          <w:numId w:val="2"/>
        </w:numPr>
        <w:spacing w:before="93"/>
        <w:ind w:firstLine="481" w:firstLineChars="150"/>
        <w:rPr>
          <w:rFonts w:ascii="仿宋" w:hAnsi="仿宋" w:eastAsia="仿宋"/>
          <w:sz w:val="32"/>
          <w:szCs w:val="32"/>
        </w:rPr>
      </w:pPr>
      <w:r>
        <w:rPr>
          <w:rFonts w:hint="eastAsia" w:ascii="仿宋" w:hAnsi="仿宋" w:eastAsia="仿宋"/>
          <w:b/>
          <w:sz w:val="32"/>
          <w:szCs w:val="32"/>
        </w:rPr>
        <w:t>因公出国（境）经费支出0万元，</w:t>
      </w:r>
      <w:r>
        <w:rPr>
          <w:rStyle w:val="20"/>
          <w:rFonts w:hint="eastAsia" w:ascii="仿宋" w:hAnsi="仿宋" w:eastAsia="仿宋"/>
          <w:sz w:val="32"/>
          <w:szCs w:val="32"/>
        </w:rPr>
        <w:t>完成预算0</w:t>
      </w:r>
      <w:r>
        <w:rPr>
          <w:rStyle w:val="20"/>
          <w:rFonts w:ascii="仿宋" w:hAnsi="仿宋" w:eastAsia="仿宋"/>
          <w:sz w:val="32"/>
          <w:szCs w:val="32"/>
        </w:rPr>
        <w:t>%</w:t>
      </w:r>
      <w:r>
        <w:rPr>
          <w:rStyle w:val="20"/>
          <w:rFonts w:hint="eastAsia" w:ascii="仿宋" w:hAnsi="仿宋" w:eastAsia="仿宋"/>
          <w:sz w:val="32"/>
          <w:szCs w:val="32"/>
        </w:rPr>
        <w:t>。</w:t>
      </w:r>
      <w:r>
        <w:rPr>
          <w:rFonts w:hint="eastAsia" w:ascii="仿宋" w:hAnsi="仿宋" w:eastAsia="仿宋"/>
          <w:sz w:val="32"/>
          <w:szCs w:val="32"/>
        </w:rPr>
        <w:t>全年安排因公出国（境）团组0次，出国（境）0人</w:t>
      </w:r>
      <w:bookmarkStart w:id="54" w:name="_Toc15377218"/>
      <w:bookmarkStart w:id="55" w:name="_Toc15396610"/>
      <w:r>
        <w:rPr>
          <w:rFonts w:hint="eastAsia" w:ascii="仿宋" w:hAnsi="仿宋" w:eastAsia="仿宋"/>
          <w:sz w:val="32"/>
          <w:szCs w:val="32"/>
        </w:rPr>
        <w:t>。</w:t>
      </w:r>
    </w:p>
    <w:p>
      <w:pPr>
        <w:pStyle w:val="6"/>
        <w:numPr>
          <w:ilvl w:val="0"/>
          <w:numId w:val="2"/>
        </w:numPr>
        <w:spacing w:before="93"/>
        <w:ind w:firstLine="481" w:firstLineChars="150"/>
        <w:rPr>
          <w:rFonts w:ascii="仿宋" w:hAnsi="仿宋" w:eastAsia="仿宋"/>
          <w:b/>
          <w:sz w:val="32"/>
          <w:szCs w:val="32"/>
        </w:rPr>
      </w:pPr>
      <w:r>
        <w:rPr>
          <w:rFonts w:hint="eastAsia" w:ascii="仿宋" w:hAnsi="仿宋" w:eastAsia="仿宋"/>
          <w:b/>
          <w:sz w:val="32"/>
          <w:szCs w:val="32"/>
        </w:rPr>
        <w:t>公务用车购置及运行维护费支出</w:t>
      </w:r>
      <w:r>
        <w:rPr>
          <w:rFonts w:hint="eastAsia" w:ascii="仿宋" w:hAnsi="仿宋" w:eastAsia="仿宋"/>
          <w:b/>
          <w:sz w:val="32"/>
          <w:szCs w:val="32"/>
          <w:lang w:val="en-US" w:eastAsia="zh-CN"/>
        </w:rPr>
        <w:t>2.99</w:t>
      </w:r>
      <w:r>
        <w:rPr>
          <w:rFonts w:hint="eastAsia" w:ascii="仿宋" w:hAnsi="仿宋" w:eastAsia="仿宋"/>
          <w:b/>
          <w:bCs/>
          <w:sz w:val="32"/>
          <w:szCs w:val="32"/>
        </w:rPr>
        <w:t>万元，</w:t>
      </w:r>
      <w:r>
        <w:rPr>
          <w:rStyle w:val="20"/>
          <w:rFonts w:hint="eastAsia" w:ascii="仿宋" w:hAnsi="仿宋" w:eastAsia="仿宋"/>
          <w:bCs/>
          <w:sz w:val="32"/>
          <w:szCs w:val="32"/>
        </w:rPr>
        <w:t>完成预算</w:t>
      </w:r>
      <w:r>
        <w:rPr>
          <w:rStyle w:val="20"/>
          <w:rFonts w:hint="eastAsia" w:ascii="仿宋" w:hAnsi="仿宋" w:eastAsia="仿宋"/>
          <w:sz w:val="32"/>
          <w:szCs w:val="32"/>
          <w:lang w:val="en-US" w:eastAsia="zh-CN"/>
        </w:rPr>
        <w:t>99.67</w:t>
      </w:r>
      <w:r>
        <w:rPr>
          <w:rStyle w:val="20"/>
          <w:rFonts w:ascii="仿宋" w:hAnsi="仿宋" w:eastAsia="仿宋"/>
          <w:sz w:val="32"/>
          <w:szCs w:val="32"/>
        </w:rPr>
        <w:t>%</w:t>
      </w:r>
      <w:r>
        <w:rPr>
          <w:rStyle w:val="20"/>
          <w:rFonts w:hint="eastAsia" w:ascii="仿宋" w:hAnsi="仿宋" w:eastAsia="仿宋"/>
          <w:sz w:val="32"/>
          <w:szCs w:val="32"/>
        </w:rPr>
        <w:t>。</w:t>
      </w:r>
      <w:r>
        <w:rPr>
          <w:rFonts w:hint="eastAsia" w:ascii="仿宋" w:hAnsi="仿宋" w:eastAsia="仿宋"/>
          <w:sz w:val="32"/>
          <w:szCs w:val="32"/>
        </w:rPr>
        <w:t>公务用车购置及运行维护费支出决算与2023年保持不变。</w:t>
      </w:r>
    </w:p>
    <w:p>
      <w:pPr>
        <w:spacing w:line="600" w:lineRule="exact"/>
        <w:ind w:firstLine="640" w:firstLineChars="200"/>
        <w:rPr>
          <w:rFonts w:ascii="仿宋" w:hAnsi="仿宋" w:eastAsia="仿宋"/>
          <w:b/>
          <w:sz w:val="32"/>
          <w:szCs w:val="32"/>
        </w:rPr>
      </w:pPr>
      <w:r>
        <w:rPr>
          <w:rFonts w:hint="eastAsia" w:ascii="仿宋" w:hAnsi="仿宋" w:eastAsia="仿宋"/>
          <w:sz w:val="32"/>
          <w:szCs w:val="32"/>
        </w:rPr>
        <w:t>其中：</w:t>
      </w:r>
      <w:r>
        <w:rPr>
          <w:rFonts w:hint="eastAsia" w:ascii="仿宋" w:hAnsi="仿宋" w:eastAsia="仿宋"/>
          <w:bCs/>
          <w:sz w:val="32"/>
          <w:szCs w:val="32"/>
        </w:rPr>
        <w:t>公务用车购置支出0</w:t>
      </w:r>
      <w:r>
        <w:rPr>
          <w:rFonts w:hint="eastAsia" w:ascii="仿宋" w:hAnsi="仿宋" w:eastAsia="仿宋"/>
          <w:sz w:val="32"/>
          <w:szCs w:val="32"/>
        </w:rPr>
        <w:t>万元。全年按规定更新购置公务用车0辆，其中：轿车0辆、金额0万元，越野车0辆、金额0万元，载客汽车0辆、金额0万元。截至2024年</w:t>
      </w:r>
      <w:r>
        <w:rPr>
          <w:rFonts w:ascii="仿宋" w:hAnsi="仿宋" w:eastAsia="仿宋"/>
          <w:sz w:val="32"/>
          <w:szCs w:val="32"/>
        </w:rPr>
        <w:t>12</w:t>
      </w:r>
      <w:r>
        <w:rPr>
          <w:rFonts w:hint="eastAsia" w:ascii="仿宋" w:hAnsi="仿宋" w:eastAsia="仿宋"/>
          <w:sz w:val="32"/>
          <w:szCs w:val="32"/>
        </w:rPr>
        <w:t>月底，单位共有公务用车3辆，其中：轿车0辆、越野车0辆、载客汽车0辆、其他车型3辆。</w:t>
      </w:r>
    </w:p>
    <w:p>
      <w:pPr>
        <w:spacing w:line="600" w:lineRule="exact"/>
        <w:ind w:firstLine="640"/>
        <w:rPr>
          <w:rFonts w:ascii="仿宋" w:hAnsi="仿宋" w:eastAsia="仿宋"/>
          <w:sz w:val="32"/>
          <w:szCs w:val="32"/>
        </w:rPr>
      </w:pPr>
      <w:r>
        <w:rPr>
          <w:rFonts w:hint="eastAsia" w:ascii="仿宋" w:hAnsi="仿宋" w:eastAsia="仿宋"/>
          <w:bCs/>
          <w:sz w:val="32"/>
          <w:szCs w:val="32"/>
        </w:rPr>
        <w:t>公务用车运行维护费支出</w:t>
      </w:r>
      <w:r>
        <w:rPr>
          <w:rFonts w:hint="eastAsia" w:ascii="仿宋" w:hAnsi="仿宋" w:eastAsia="仿宋"/>
          <w:bCs/>
          <w:sz w:val="32"/>
          <w:szCs w:val="32"/>
          <w:lang w:val="en-US" w:eastAsia="zh-CN"/>
        </w:rPr>
        <w:t>2.99</w:t>
      </w:r>
      <w:r>
        <w:rPr>
          <w:rFonts w:hint="eastAsia" w:ascii="仿宋" w:hAnsi="仿宋" w:eastAsia="仿宋"/>
          <w:bCs/>
          <w:sz w:val="32"/>
          <w:szCs w:val="32"/>
        </w:rPr>
        <w:t>万元。</w:t>
      </w:r>
      <w:r>
        <w:rPr>
          <w:rFonts w:hint="eastAsia" w:ascii="仿宋" w:hAnsi="仿宋" w:eastAsia="仿宋"/>
          <w:sz w:val="32"/>
          <w:szCs w:val="32"/>
        </w:rPr>
        <w:t>主要用于公务用车燃料费、维修费、过路过桥费、保险费等支出。</w:t>
      </w:r>
    </w:p>
    <w:p>
      <w:pPr>
        <w:numPr>
          <w:ilvl w:val="0"/>
          <w:numId w:val="3"/>
        </w:numPr>
        <w:spacing w:line="600" w:lineRule="exact"/>
        <w:ind w:firstLine="640"/>
        <w:outlineLvl w:val="1"/>
        <w:rPr>
          <w:rStyle w:val="20"/>
          <w:rFonts w:ascii="仿宋" w:hAnsi="仿宋" w:eastAsia="仿宋"/>
          <w:b w:val="0"/>
          <w:bCs/>
          <w:sz w:val="32"/>
          <w:szCs w:val="32"/>
        </w:rPr>
      </w:pPr>
      <w:r>
        <w:rPr>
          <w:rFonts w:hint="eastAsia" w:ascii="仿宋" w:hAnsi="仿宋" w:eastAsia="仿宋"/>
          <w:b/>
          <w:sz w:val="32"/>
          <w:szCs w:val="32"/>
        </w:rPr>
        <w:t>公务接待费支出</w:t>
      </w:r>
      <w:r>
        <w:rPr>
          <w:rFonts w:hint="eastAsia" w:ascii="仿宋" w:hAnsi="仿宋" w:eastAsia="仿宋"/>
          <w:b/>
          <w:bCs/>
          <w:sz w:val="32"/>
          <w:szCs w:val="32"/>
        </w:rPr>
        <w:t>0.0</w:t>
      </w:r>
      <w:r>
        <w:rPr>
          <w:rFonts w:hint="eastAsia" w:ascii="仿宋" w:hAnsi="仿宋" w:eastAsia="仿宋"/>
          <w:b/>
          <w:bCs/>
          <w:sz w:val="32"/>
          <w:szCs w:val="32"/>
          <w:lang w:val="en-US" w:eastAsia="zh-CN"/>
        </w:rPr>
        <w:t>7</w:t>
      </w:r>
      <w:r>
        <w:rPr>
          <w:rFonts w:hint="eastAsia" w:ascii="仿宋" w:hAnsi="仿宋" w:eastAsia="仿宋"/>
          <w:b/>
          <w:bCs/>
          <w:sz w:val="32"/>
          <w:szCs w:val="32"/>
        </w:rPr>
        <w:t>万元</w:t>
      </w:r>
      <w:r>
        <w:rPr>
          <w:rStyle w:val="20"/>
          <w:rFonts w:hint="eastAsia" w:ascii="仿宋" w:hAnsi="仿宋" w:eastAsia="仿宋"/>
          <w:bCs/>
          <w:sz w:val="32"/>
          <w:szCs w:val="32"/>
        </w:rPr>
        <w:t>。完成预算3.</w:t>
      </w:r>
      <w:r>
        <w:rPr>
          <w:rStyle w:val="20"/>
          <w:rFonts w:hint="eastAsia" w:ascii="仿宋" w:hAnsi="仿宋" w:eastAsia="仿宋"/>
          <w:bCs/>
          <w:sz w:val="32"/>
          <w:szCs w:val="32"/>
          <w:lang w:val="en-US" w:eastAsia="zh-CN"/>
        </w:rPr>
        <w:t>5</w:t>
      </w:r>
      <w:r>
        <w:rPr>
          <w:rStyle w:val="20"/>
          <w:rFonts w:hint="eastAsia" w:ascii="仿宋" w:hAnsi="仿宋" w:eastAsia="仿宋"/>
          <w:bCs/>
          <w:sz w:val="32"/>
          <w:szCs w:val="32"/>
        </w:rPr>
        <w:t>%。</w:t>
      </w:r>
      <w:r>
        <w:rPr>
          <w:rStyle w:val="20"/>
          <w:rFonts w:hint="eastAsia" w:ascii="仿宋" w:hAnsi="仿宋" w:eastAsia="仿宋"/>
          <w:b w:val="0"/>
          <w:bCs/>
          <w:sz w:val="32"/>
          <w:szCs w:val="32"/>
        </w:rPr>
        <w:t>较上年度减少66.4%，用于上级领导指导院前急救调度指挥工作的接待（执行公务、开展业务活动开支的交通费、住宿费、用餐费）。共计接待1批次，接待5人次。共计支出0.</w:t>
      </w:r>
      <w:r>
        <w:rPr>
          <w:rStyle w:val="20"/>
          <w:rFonts w:hint="eastAsia" w:ascii="仿宋" w:hAnsi="仿宋" w:eastAsia="仿宋"/>
          <w:b w:val="0"/>
          <w:bCs/>
          <w:sz w:val="32"/>
          <w:szCs w:val="32"/>
          <w:lang w:val="en-US" w:eastAsia="zh-CN"/>
        </w:rPr>
        <w:t>07</w:t>
      </w:r>
      <w:r>
        <w:rPr>
          <w:rStyle w:val="20"/>
          <w:rFonts w:hint="eastAsia" w:ascii="仿宋" w:hAnsi="仿宋" w:eastAsia="仿宋"/>
          <w:b w:val="0"/>
          <w:bCs/>
          <w:sz w:val="32"/>
          <w:szCs w:val="32"/>
        </w:rPr>
        <w:t>万元，具体包括为德阳市紧急医疗救援指挥中心赴遂考察学习信息化建设以及协作工作到访接待费用</w:t>
      </w:r>
      <w:bookmarkEnd w:id="54"/>
      <w:bookmarkEnd w:id="55"/>
      <w:r>
        <w:rPr>
          <w:rStyle w:val="20"/>
          <w:rFonts w:hint="eastAsia" w:ascii="仿宋" w:hAnsi="仿宋" w:eastAsia="仿宋"/>
          <w:b w:val="0"/>
          <w:bCs/>
          <w:sz w:val="32"/>
          <w:szCs w:val="32"/>
        </w:rPr>
        <w:t>。</w:t>
      </w:r>
    </w:p>
    <w:p>
      <w:pPr>
        <w:spacing w:line="600" w:lineRule="exact"/>
        <w:ind w:firstLine="640" w:firstLineChars="200"/>
        <w:outlineLvl w:val="1"/>
        <w:rPr>
          <w:rStyle w:val="31"/>
          <w:rFonts w:ascii="黑体" w:hAnsi="黑体" w:eastAsia="黑体"/>
          <w:b w:val="0"/>
        </w:rPr>
      </w:pPr>
      <w:r>
        <w:rPr>
          <w:rStyle w:val="31"/>
          <w:rFonts w:hint="eastAsia" w:ascii="黑体" w:hAnsi="黑体" w:eastAsia="黑体"/>
          <w:b w:val="0"/>
        </w:rPr>
        <w:t>八、政府性基金预算支出决算情况说明</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2024年政府性基金预算财政拨款支出0万元。</w:t>
      </w:r>
    </w:p>
    <w:p>
      <w:pPr>
        <w:numPr>
          <w:ilvl w:val="0"/>
          <w:numId w:val="4"/>
        </w:numPr>
        <w:spacing w:line="600" w:lineRule="exact"/>
        <w:ind w:firstLine="640"/>
        <w:outlineLvl w:val="1"/>
        <w:rPr>
          <w:rStyle w:val="31"/>
          <w:rFonts w:ascii="黑体" w:hAnsi="黑体" w:eastAsia="黑体"/>
          <w:b w:val="0"/>
        </w:rPr>
      </w:pPr>
      <w:bookmarkStart w:id="56" w:name="_Toc15396611"/>
      <w:bookmarkStart w:id="57" w:name="_Toc1314"/>
      <w:bookmarkStart w:id="58" w:name="_Toc15377219"/>
      <w:r>
        <w:rPr>
          <w:rStyle w:val="31"/>
          <w:rFonts w:hint="eastAsia" w:ascii="黑体" w:hAnsi="黑体" w:eastAsia="黑体"/>
          <w:b w:val="0"/>
        </w:rPr>
        <w:t>国有资本经营预算支出决算情况说明</w:t>
      </w:r>
      <w:bookmarkEnd w:id="56"/>
      <w:bookmarkEnd w:id="57"/>
      <w:bookmarkEnd w:id="58"/>
    </w:p>
    <w:p>
      <w:pPr>
        <w:spacing w:line="600" w:lineRule="exact"/>
        <w:ind w:firstLine="640"/>
        <w:rPr>
          <w:rFonts w:ascii="方正小标宋简体" w:hAnsi="方正小标宋简体" w:eastAsia="方正小标宋简体" w:cs="方正小标宋简体"/>
          <w:sz w:val="44"/>
          <w:szCs w:val="44"/>
        </w:rPr>
      </w:pPr>
      <w:r>
        <w:rPr>
          <w:rFonts w:hint="eastAsia" w:ascii="仿宋_GB2312" w:eastAsia="仿宋_GB2312"/>
          <w:sz w:val="32"/>
          <w:szCs w:val="32"/>
        </w:rPr>
        <w:t>2024年国有资本经营预算财政拨款支出0万元。</w:t>
      </w:r>
    </w:p>
    <w:p>
      <w:pPr>
        <w:numPr>
          <w:ilvl w:val="0"/>
          <w:numId w:val="4"/>
        </w:numPr>
        <w:spacing w:line="600" w:lineRule="exact"/>
        <w:ind w:firstLine="640"/>
        <w:outlineLvl w:val="1"/>
        <w:rPr>
          <w:rStyle w:val="31"/>
          <w:rFonts w:ascii="黑体" w:hAnsi="黑体" w:eastAsia="黑体"/>
          <w:b w:val="0"/>
        </w:rPr>
      </w:pPr>
      <w:bookmarkStart w:id="59" w:name="_Toc5916"/>
      <w:bookmarkStart w:id="60" w:name="_Toc15377221"/>
      <w:bookmarkStart w:id="61" w:name="_Toc15396612"/>
      <w:r>
        <w:rPr>
          <w:rStyle w:val="31"/>
          <w:rFonts w:hint="eastAsia" w:ascii="黑体" w:hAnsi="黑体" w:eastAsia="黑体"/>
          <w:b w:val="0"/>
        </w:rPr>
        <w:t>其他重要事项的情况说明</w:t>
      </w:r>
      <w:bookmarkEnd w:id="59"/>
      <w:bookmarkEnd w:id="60"/>
      <w:bookmarkEnd w:id="61"/>
    </w:p>
    <w:p>
      <w:pPr>
        <w:spacing w:line="600" w:lineRule="exact"/>
        <w:ind w:firstLine="642" w:firstLineChars="200"/>
        <w:outlineLvl w:val="2"/>
        <w:rPr>
          <w:rFonts w:ascii="仿宋" w:hAnsi="仿宋" w:eastAsia="仿宋"/>
          <w:sz w:val="32"/>
          <w:szCs w:val="32"/>
        </w:rPr>
      </w:pPr>
      <w:bookmarkStart w:id="62" w:name="_Toc15377222"/>
      <w:r>
        <w:rPr>
          <w:rFonts w:hint="eastAsia" w:ascii="仿宋" w:hAnsi="仿宋" w:eastAsia="仿宋"/>
          <w:b/>
          <w:sz w:val="32"/>
          <w:szCs w:val="32"/>
        </w:rPr>
        <w:t>（一）机关运行经费支出情况</w:t>
      </w:r>
      <w:bookmarkEnd w:id="62"/>
    </w:p>
    <w:p>
      <w:pPr>
        <w:spacing w:line="600" w:lineRule="exact"/>
        <w:ind w:firstLine="640" w:firstLineChars="200"/>
        <w:rPr>
          <w:rFonts w:ascii="仿宋_GB2312" w:eastAsia="仿宋_GB2312"/>
          <w:sz w:val="32"/>
          <w:szCs w:val="32"/>
        </w:rPr>
      </w:pPr>
      <w:r>
        <w:rPr>
          <w:rFonts w:hint="eastAsia" w:ascii="仿宋" w:hAnsi="仿宋" w:eastAsia="仿宋" w:cs="仿宋"/>
          <w:sz w:val="32"/>
          <w:szCs w:val="32"/>
          <w:shd w:val="clear" w:color="auto" w:fill="FFFFFF"/>
        </w:rPr>
        <w:t>遂宁市紧急医疗救援中心</w:t>
      </w:r>
      <w:r>
        <w:rPr>
          <w:rFonts w:ascii="仿宋" w:hAnsi="仿宋" w:eastAsia="仿宋" w:cs="仿宋"/>
          <w:sz w:val="32"/>
          <w:szCs w:val="32"/>
          <w:shd w:val="clear" w:color="auto" w:fill="FFFFFF"/>
        </w:rPr>
        <w:t>为事业单位，无机关运行经费。</w:t>
      </w:r>
    </w:p>
    <w:p>
      <w:pPr>
        <w:autoSpaceDE w:val="0"/>
        <w:autoSpaceDN w:val="0"/>
        <w:adjustRightInd w:val="0"/>
        <w:spacing w:line="600" w:lineRule="exact"/>
        <w:ind w:firstLine="642" w:firstLineChars="200"/>
        <w:jc w:val="left"/>
        <w:outlineLvl w:val="2"/>
        <w:rPr>
          <w:rFonts w:ascii="仿宋" w:hAnsi="仿宋" w:eastAsia="仿宋"/>
          <w:b/>
          <w:sz w:val="32"/>
          <w:szCs w:val="32"/>
        </w:rPr>
      </w:pPr>
      <w:bookmarkStart w:id="63" w:name="_Toc15377223"/>
      <w:r>
        <w:rPr>
          <w:rFonts w:hint="eastAsia" w:ascii="仿宋" w:hAnsi="仿宋" w:eastAsia="仿宋"/>
          <w:b/>
          <w:sz w:val="32"/>
          <w:szCs w:val="32"/>
        </w:rPr>
        <w:t>（二）政府采购支出情况</w:t>
      </w:r>
      <w:bookmarkEnd w:id="63"/>
    </w:p>
    <w:p>
      <w:pPr>
        <w:spacing w:line="600" w:lineRule="exact"/>
        <w:ind w:firstLine="640" w:firstLineChars="200"/>
        <w:rPr>
          <w:rFonts w:ascii="仿宋" w:hAnsi="仿宋" w:eastAsia="仿宋"/>
          <w:b/>
          <w:sz w:val="32"/>
          <w:szCs w:val="32"/>
        </w:rPr>
      </w:pPr>
      <w:r>
        <w:rPr>
          <w:rFonts w:hint="eastAsia" w:ascii="仿宋" w:hAnsi="仿宋" w:eastAsia="仿宋"/>
          <w:sz w:val="32"/>
          <w:szCs w:val="32"/>
        </w:rPr>
        <w:t>2024年，遂宁市紧急医疗救援中心政府采购支出总额0.95万元，其中：政府采购货物支出0万元、政府采购工程支出0万元、政府采购服务支出0.95万元。占政府采购支出总额的100</w:t>
      </w:r>
      <w:r>
        <w:rPr>
          <w:rFonts w:ascii="仿宋" w:hAnsi="仿宋" w:eastAsia="仿宋"/>
          <w:sz w:val="32"/>
          <w:szCs w:val="32"/>
        </w:rPr>
        <w:t>%</w:t>
      </w:r>
      <w:r>
        <w:rPr>
          <w:rFonts w:hint="eastAsia" w:ascii="仿宋" w:hAnsi="仿宋" w:eastAsia="仿宋"/>
          <w:sz w:val="32"/>
          <w:szCs w:val="32"/>
        </w:rPr>
        <w:t>。授予中小企业合同金额0万元，占政府采购支出总额的0</w:t>
      </w:r>
      <w:r>
        <w:rPr>
          <w:rFonts w:ascii="仿宋" w:hAnsi="仿宋" w:eastAsia="仿宋"/>
          <w:sz w:val="32"/>
          <w:szCs w:val="32"/>
        </w:rPr>
        <w:t>%</w:t>
      </w:r>
      <w:r>
        <w:rPr>
          <w:rFonts w:hint="eastAsia" w:ascii="仿宋" w:hAnsi="仿宋" w:eastAsia="仿宋"/>
          <w:sz w:val="32"/>
          <w:szCs w:val="32"/>
        </w:rPr>
        <w:t>，其中：授予小微企业合同金额0万元，占政府采购支出总额的0</w:t>
      </w:r>
      <w:r>
        <w:rPr>
          <w:rFonts w:ascii="仿宋" w:hAnsi="仿宋" w:eastAsia="仿宋"/>
          <w:sz w:val="32"/>
          <w:szCs w:val="32"/>
        </w:rPr>
        <w:t>%</w:t>
      </w:r>
      <w:r>
        <w:rPr>
          <w:rFonts w:hint="eastAsia" w:ascii="仿宋" w:hAnsi="仿宋" w:eastAsia="仿宋"/>
          <w:sz w:val="32"/>
          <w:szCs w:val="32"/>
        </w:rPr>
        <w:t>。</w:t>
      </w:r>
    </w:p>
    <w:p>
      <w:pPr>
        <w:autoSpaceDE w:val="0"/>
        <w:autoSpaceDN w:val="0"/>
        <w:adjustRightInd w:val="0"/>
        <w:spacing w:line="600" w:lineRule="exact"/>
        <w:ind w:firstLine="642" w:firstLineChars="200"/>
        <w:jc w:val="left"/>
        <w:outlineLvl w:val="2"/>
        <w:rPr>
          <w:rFonts w:ascii="仿宋" w:hAnsi="仿宋" w:eastAsia="仿宋"/>
          <w:b/>
          <w:sz w:val="32"/>
          <w:szCs w:val="32"/>
        </w:rPr>
      </w:pPr>
      <w:bookmarkStart w:id="64" w:name="_Toc15377224"/>
      <w:r>
        <w:rPr>
          <w:rFonts w:hint="eastAsia" w:ascii="仿宋" w:hAnsi="仿宋" w:eastAsia="仿宋"/>
          <w:b/>
          <w:sz w:val="32"/>
          <w:szCs w:val="32"/>
        </w:rPr>
        <w:t>（三）国有资产占有使用情况</w:t>
      </w:r>
      <w:bookmarkEnd w:id="64"/>
    </w:p>
    <w:p>
      <w:pPr>
        <w:autoSpaceDE w:val="0"/>
        <w:autoSpaceDN w:val="0"/>
        <w:adjustRightInd w:val="0"/>
        <w:spacing w:line="600" w:lineRule="exact"/>
        <w:ind w:firstLine="640" w:firstLineChars="200"/>
        <w:jc w:val="left"/>
        <w:rPr>
          <w:rFonts w:ascii="仿宋" w:hAnsi="仿宋" w:eastAsia="仿宋"/>
          <w:sz w:val="32"/>
          <w:szCs w:val="32"/>
        </w:rPr>
      </w:pPr>
      <w:r>
        <w:rPr>
          <w:rFonts w:hint="eastAsia" w:ascii="仿宋" w:hAnsi="仿宋" w:eastAsia="仿宋"/>
          <w:sz w:val="32"/>
          <w:szCs w:val="32"/>
        </w:rPr>
        <w:t>截至2024年</w:t>
      </w:r>
      <w:r>
        <w:rPr>
          <w:rFonts w:ascii="仿宋" w:hAnsi="仿宋" w:eastAsia="仿宋"/>
          <w:sz w:val="32"/>
          <w:szCs w:val="32"/>
        </w:rPr>
        <w:t>12</w:t>
      </w:r>
      <w:r>
        <w:rPr>
          <w:rFonts w:hint="eastAsia" w:ascii="仿宋" w:hAnsi="仿宋" w:eastAsia="仿宋"/>
          <w:sz w:val="32"/>
          <w:szCs w:val="32"/>
        </w:rPr>
        <w:t>月</w:t>
      </w:r>
      <w:r>
        <w:rPr>
          <w:rFonts w:ascii="仿宋" w:hAnsi="仿宋" w:eastAsia="仿宋"/>
          <w:sz w:val="32"/>
          <w:szCs w:val="32"/>
        </w:rPr>
        <w:t>31</w:t>
      </w:r>
      <w:r>
        <w:rPr>
          <w:rFonts w:hint="eastAsia" w:ascii="仿宋" w:hAnsi="仿宋" w:eastAsia="仿宋"/>
          <w:sz w:val="32"/>
          <w:szCs w:val="32"/>
        </w:rPr>
        <w:t>日，遂宁市紧急医疗救援中心共有车辆3辆，其中：主要领导干部用车0辆、机要通信用车0辆、应急保障用车0辆、特种专业技术用车3辆、其他用车0辆。单价</w:t>
      </w:r>
      <w:r>
        <w:rPr>
          <w:rFonts w:ascii="仿宋" w:hAnsi="仿宋" w:eastAsia="仿宋"/>
          <w:sz w:val="32"/>
          <w:szCs w:val="32"/>
        </w:rPr>
        <w:t>50</w:t>
      </w:r>
      <w:r>
        <w:rPr>
          <w:rFonts w:hint="eastAsia" w:ascii="仿宋" w:hAnsi="仿宋" w:eastAsia="仿宋"/>
          <w:sz w:val="32"/>
          <w:szCs w:val="32"/>
        </w:rPr>
        <w:t>万元以上通用设备0台（套），单价</w:t>
      </w:r>
      <w:r>
        <w:rPr>
          <w:rFonts w:ascii="仿宋" w:hAnsi="仿宋" w:eastAsia="仿宋"/>
          <w:sz w:val="32"/>
          <w:szCs w:val="32"/>
        </w:rPr>
        <w:t>100</w:t>
      </w:r>
      <w:r>
        <w:rPr>
          <w:rFonts w:hint="eastAsia" w:ascii="仿宋" w:hAnsi="仿宋" w:eastAsia="仿宋"/>
          <w:sz w:val="32"/>
          <w:szCs w:val="32"/>
        </w:rPr>
        <w:t>万元以上专用设备0台（套）。</w:t>
      </w:r>
    </w:p>
    <w:p>
      <w:pPr>
        <w:autoSpaceDE w:val="0"/>
        <w:autoSpaceDN w:val="0"/>
        <w:adjustRightInd w:val="0"/>
        <w:spacing w:line="600" w:lineRule="exact"/>
        <w:ind w:firstLine="642"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根据预算绩效管理要求，本单位在2024年度预算编制阶段，组织对120指挥调度系统运行经费项目、中医药传承</w:t>
      </w:r>
      <w:r>
        <w:rPr>
          <w:rFonts w:hint="eastAsia" w:ascii="仿宋" w:hAnsi="仿宋" w:eastAsia="仿宋" w:cs="仿宋_GB2312"/>
          <w:sz w:val="32"/>
          <w:szCs w:val="32"/>
          <w:lang w:eastAsia="zh-CN"/>
        </w:rPr>
        <w:t>创新</w:t>
      </w:r>
      <w:r>
        <w:rPr>
          <w:rFonts w:hint="eastAsia" w:ascii="仿宋" w:hAnsi="仿宋" w:eastAsia="仿宋" w:cs="仿宋_GB2312"/>
          <w:sz w:val="32"/>
          <w:szCs w:val="32"/>
        </w:rPr>
        <w:t>项目开展了预算事前绩效评估，预算执行过程中，选取</w:t>
      </w:r>
      <w:r>
        <w:rPr>
          <w:rFonts w:hint="eastAsia" w:ascii="仿宋" w:hAnsi="仿宋" w:eastAsia="仿宋" w:cs="仿宋_GB2312"/>
          <w:sz w:val="32"/>
          <w:szCs w:val="32"/>
          <w:lang w:eastAsia="zh-CN"/>
        </w:rPr>
        <w:t>两个项目</w:t>
      </w:r>
      <w:r>
        <w:rPr>
          <w:rFonts w:hint="eastAsia" w:ascii="仿宋" w:hAnsi="仿宋" w:eastAsia="仿宋" w:cs="仿宋_GB2312"/>
          <w:sz w:val="32"/>
          <w:szCs w:val="32"/>
        </w:rPr>
        <w:t>开展绩效监控，年终执行完毕后，组织</w:t>
      </w:r>
      <w:r>
        <w:rPr>
          <w:rFonts w:hint="eastAsia" w:ascii="仿宋" w:hAnsi="仿宋" w:eastAsia="仿宋" w:cs="仿宋_GB2312"/>
          <w:sz w:val="32"/>
          <w:szCs w:val="32"/>
          <w:lang w:eastAsia="zh-CN"/>
        </w:rPr>
        <w:t>对两个</w:t>
      </w:r>
      <w:r>
        <w:rPr>
          <w:rFonts w:hint="eastAsia" w:ascii="仿宋" w:hAnsi="仿宋" w:eastAsia="仿宋" w:cs="仿宋_GB2312"/>
          <w:sz w:val="32"/>
          <w:szCs w:val="32"/>
        </w:rPr>
        <w:t>项目开展了绩效自评。绩效自评表详见第四部分附件。</w:t>
      </w:r>
    </w:p>
    <w:p>
      <w:pPr>
        <w:pStyle w:val="13"/>
        <w:jc w:val="both"/>
        <w:rPr>
          <w:rFonts w:ascii="仿宋_GB2312" w:hAnsi="仿宋_GB2312" w:eastAsia="仿宋_GB2312" w:cs="仿宋_GB2312"/>
          <w:sz w:val="32"/>
          <w:szCs w:val="32"/>
        </w:rPr>
      </w:pPr>
    </w:p>
    <w:p/>
    <w:p>
      <w:pPr>
        <w:numPr>
          <w:ilvl w:val="0"/>
          <w:numId w:val="5"/>
        </w:numPr>
        <w:spacing w:line="600" w:lineRule="exact"/>
        <w:ind w:firstLine="660" w:firstLineChars="150"/>
        <w:jc w:val="center"/>
        <w:outlineLvl w:val="0"/>
        <w:rPr>
          <w:rStyle w:val="30"/>
          <w:rFonts w:ascii="黑体" w:hAnsi="黑体" w:eastAsia="黑体"/>
          <w:b w:val="0"/>
        </w:rPr>
      </w:pPr>
      <w:bookmarkStart w:id="65" w:name="_Toc15396613"/>
      <w:bookmarkStart w:id="66" w:name="_Toc12747"/>
      <w:bookmarkStart w:id="67" w:name="_Toc15377225"/>
      <w:r>
        <w:rPr>
          <w:rFonts w:hint="eastAsia" w:ascii="黑体" w:hAnsi="黑体" w:eastAsia="黑体"/>
          <w:sz w:val="44"/>
          <w:szCs w:val="44"/>
        </w:rPr>
        <w:t>名</w:t>
      </w:r>
      <w:r>
        <w:rPr>
          <w:rStyle w:val="30"/>
          <w:rFonts w:hint="eastAsia" w:ascii="黑体" w:hAnsi="黑体" w:eastAsia="黑体"/>
          <w:b w:val="0"/>
        </w:rPr>
        <w:t>词解释</w:t>
      </w:r>
      <w:bookmarkEnd w:id="65"/>
      <w:bookmarkEnd w:id="66"/>
      <w:bookmarkEnd w:id="67"/>
    </w:p>
    <w:p>
      <w:pPr>
        <w:spacing w:line="600" w:lineRule="exact"/>
        <w:jc w:val="left"/>
        <w:rPr>
          <w:rFonts w:ascii="宋体"/>
          <w:b/>
          <w:sz w:val="44"/>
          <w:szCs w:val="44"/>
        </w:rPr>
      </w:pPr>
    </w:p>
    <w:p>
      <w:pPr>
        <w:ind w:firstLine="640" w:firstLineChars="200"/>
        <w:rPr>
          <w:rFonts w:ascii="仿宋" w:hAnsi="仿宋" w:eastAsia="仿宋"/>
          <w:bCs/>
          <w:sz w:val="32"/>
          <w:szCs w:val="32"/>
        </w:rPr>
      </w:pPr>
      <w:bookmarkStart w:id="68" w:name="_Toc11163"/>
      <w:r>
        <w:rPr>
          <w:rFonts w:ascii="仿宋_GB2312" w:hAnsi="微软雅黑" w:eastAsia="仿宋_GB2312" w:cs="仿宋_GB2312"/>
          <w:sz w:val="32"/>
          <w:szCs w:val="32"/>
          <w:shd w:val="clear" w:color="auto" w:fill="FFFFFF"/>
        </w:rPr>
        <w:t>1</w:t>
      </w:r>
      <w:r>
        <w:rPr>
          <w:rFonts w:ascii="仿宋" w:hAnsi="仿宋" w:eastAsia="仿宋"/>
          <w:bCs/>
          <w:sz w:val="32"/>
          <w:szCs w:val="32"/>
        </w:rPr>
        <w:t>.财政拨款收入：指单位从同级财政部门取得的财政预算资金。</w:t>
      </w:r>
      <w:bookmarkEnd w:id="68"/>
    </w:p>
    <w:p>
      <w:pPr>
        <w:ind w:firstLine="640" w:firstLineChars="200"/>
        <w:rPr>
          <w:rFonts w:ascii="仿宋" w:hAnsi="仿宋" w:eastAsia="仿宋"/>
          <w:bCs/>
          <w:sz w:val="32"/>
          <w:szCs w:val="32"/>
        </w:rPr>
      </w:pPr>
      <w:r>
        <w:rPr>
          <w:rFonts w:ascii="仿宋" w:hAnsi="仿宋" w:eastAsia="仿宋"/>
          <w:bCs/>
          <w:sz w:val="32"/>
          <w:szCs w:val="32"/>
        </w:rPr>
        <w:t>2.事业收入：指事业单位开展专业业务活动及辅助活动取得的收入。</w:t>
      </w:r>
    </w:p>
    <w:p>
      <w:pPr>
        <w:ind w:firstLine="640" w:firstLineChars="200"/>
        <w:rPr>
          <w:rFonts w:ascii="仿宋" w:hAnsi="仿宋" w:eastAsia="仿宋"/>
          <w:bCs/>
          <w:sz w:val="32"/>
          <w:szCs w:val="32"/>
        </w:rPr>
      </w:pPr>
      <w:r>
        <w:rPr>
          <w:rFonts w:ascii="仿宋" w:hAnsi="仿宋" w:eastAsia="仿宋"/>
          <w:bCs/>
          <w:sz w:val="32"/>
          <w:szCs w:val="32"/>
        </w:rPr>
        <w:t>3.经营收入：指事业单位在专业业务活动及其辅助活动之外开展非独立核算经营活动取得的收入。</w:t>
      </w:r>
    </w:p>
    <w:p>
      <w:pPr>
        <w:ind w:firstLine="640" w:firstLineChars="200"/>
        <w:rPr>
          <w:rFonts w:ascii="仿宋" w:hAnsi="仿宋" w:eastAsia="仿宋"/>
          <w:bCs/>
          <w:sz w:val="32"/>
          <w:szCs w:val="32"/>
        </w:rPr>
      </w:pPr>
      <w:r>
        <w:rPr>
          <w:rFonts w:ascii="仿宋" w:hAnsi="仿宋" w:eastAsia="仿宋"/>
          <w:bCs/>
          <w:sz w:val="32"/>
          <w:szCs w:val="32"/>
        </w:rPr>
        <w:t>4.其他收入：指单位取得的除上述收入以外的各项收入，如利息收入。 </w:t>
      </w:r>
    </w:p>
    <w:p>
      <w:pPr>
        <w:ind w:firstLine="640" w:firstLineChars="200"/>
        <w:rPr>
          <w:rFonts w:ascii="仿宋" w:hAnsi="仿宋" w:eastAsia="仿宋"/>
          <w:bCs/>
          <w:sz w:val="32"/>
          <w:szCs w:val="32"/>
        </w:rPr>
      </w:pPr>
      <w:r>
        <w:rPr>
          <w:rFonts w:ascii="仿宋" w:hAnsi="仿宋" w:eastAsia="仿宋"/>
          <w:bCs/>
          <w:sz w:val="32"/>
          <w:szCs w:val="32"/>
        </w:rPr>
        <w:t>5.使用非财政拨款结余：指事业单位使用以前年度积累的非财政拨款结余弥补当年收支差额的金额。 </w:t>
      </w:r>
    </w:p>
    <w:p>
      <w:pPr>
        <w:ind w:firstLine="640" w:firstLineChars="200"/>
        <w:rPr>
          <w:rFonts w:ascii="仿宋" w:hAnsi="仿宋" w:eastAsia="仿宋"/>
          <w:bCs/>
          <w:sz w:val="32"/>
          <w:szCs w:val="32"/>
        </w:rPr>
      </w:pPr>
      <w:r>
        <w:rPr>
          <w:rFonts w:ascii="仿宋" w:hAnsi="仿宋" w:eastAsia="仿宋"/>
          <w:bCs/>
          <w:sz w:val="32"/>
          <w:szCs w:val="32"/>
        </w:rPr>
        <w:t>6.年初结转和结余：指以前年度尚未完成、结转到本年按有关规定继续使用的资金。 </w:t>
      </w:r>
    </w:p>
    <w:p>
      <w:pPr>
        <w:ind w:firstLine="640" w:firstLineChars="200"/>
        <w:rPr>
          <w:rFonts w:ascii="仿宋" w:hAnsi="仿宋" w:eastAsia="仿宋"/>
          <w:bCs/>
          <w:sz w:val="32"/>
          <w:szCs w:val="32"/>
        </w:rPr>
      </w:pPr>
      <w:r>
        <w:rPr>
          <w:rFonts w:ascii="仿宋" w:hAnsi="仿宋" w:eastAsia="仿宋"/>
          <w:bCs/>
          <w:sz w:val="32"/>
          <w:szCs w:val="32"/>
        </w:rPr>
        <w:t>7.结余分配：指事业单位按照会计制度规定缴纳的所得税、提取的专用结余以及转入非财政拨款结余的金额等。</w:t>
      </w:r>
    </w:p>
    <w:p>
      <w:pPr>
        <w:ind w:firstLine="640" w:firstLineChars="200"/>
        <w:rPr>
          <w:rFonts w:ascii="仿宋" w:hAnsi="仿宋" w:eastAsia="仿宋"/>
          <w:bCs/>
          <w:sz w:val="32"/>
          <w:szCs w:val="32"/>
        </w:rPr>
      </w:pPr>
      <w:r>
        <w:rPr>
          <w:rFonts w:hint="eastAsia" w:ascii="仿宋" w:hAnsi="仿宋" w:eastAsia="仿宋"/>
          <w:bCs/>
          <w:sz w:val="32"/>
          <w:szCs w:val="32"/>
          <w:lang w:eastAsia="zh-CN"/>
        </w:rPr>
        <w:t>8.</w:t>
      </w:r>
      <w:r>
        <w:rPr>
          <w:rFonts w:ascii="仿宋" w:hAnsi="仿宋" w:eastAsia="仿宋"/>
          <w:bCs/>
          <w:sz w:val="32"/>
          <w:szCs w:val="32"/>
        </w:rPr>
        <w:t>年末结转和结余：指单位按有关规定结转到下年或以后年度继续使用的资金。</w:t>
      </w:r>
    </w:p>
    <w:p>
      <w:pPr>
        <w:ind w:firstLine="640" w:firstLineChars="200"/>
        <w:rPr>
          <w:rFonts w:ascii="仿宋" w:hAnsi="仿宋" w:eastAsia="仿宋"/>
          <w:bCs/>
          <w:sz w:val="32"/>
          <w:szCs w:val="32"/>
        </w:rPr>
      </w:pPr>
      <w:r>
        <w:rPr>
          <w:rFonts w:ascii="仿宋" w:hAnsi="仿宋" w:eastAsia="仿宋"/>
          <w:bCs/>
          <w:sz w:val="32"/>
          <w:szCs w:val="32"/>
        </w:rPr>
        <w:t>9.社会保障和就业支出（208）行政事业单位养老支出（05）事业单位离退休费（02）</w:t>
      </w:r>
      <w:r>
        <w:rPr>
          <w:rFonts w:hint="eastAsia" w:ascii="仿宋" w:hAnsi="仿宋" w:eastAsia="仿宋"/>
          <w:bCs/>
          <w:sz w:val="32"/>
          <w:szCs w:val="32"/>
        </w:rPr>
        <w:t>：</w:t>
      </w:r>
      <w:r>
        <w:rPr>
          <w:rFonts w:ascii="仿宋" w:hAnsi="仿宋" w:eastAsia="仿宋"/>
          <w:bCs/>
          <w:sz w:val="32"/>
          <w:szCs w:val="32"/>
        </w:rPr>
        <w:t>反映事业单位开支的离退休经费。</w:t>
      </w:r>
    </w:p>
    <w:p>
      <w:pPr>
        <w:ind w:firstLine="640" w:firstLineChars="200"/>
        <w:rPr>
          <w:rFonts w:ascii="仿宋" w:hAnsi="仿宋" w:eastAsia="仿宋"/>
          <w:bCs/>
          <w:sz w:val="32"/>
          <w:szCs w:val="32"/>
        </w:rPr>
      </w:pPr>
      <w:r>
        <w:rPr>
          <w:rFonts w:ascii="仿宋" w:hAnsi="仿宋" w:eastAsia="仿宋"/>
          <w:bCs/>
          <w:sz w:val="32"/>
          <w:szCs w:val="32"/>
        </w:rPr>
        <w:t>10.社会保障和就业支出（208）行政事业单位养老支出（05）机关事业单位基本养老保险缴费支出</w:t>
      </w:r>
      <w:r>
        <w:rPr>
          <w:rFonts w:hint="eastAsia" w:ascii="仿宋" w:hAnsi="仿宋" w:eastAsia="仿宋"/>
          <w:bCs/>
          <w:sz w:val="32"/>
          <w:szCs w:val="32"/>
        </w:rPr>
        <w:t>（</w:t>
      </w:r>
      <w:r>
        <w:rPr>
          <w:rFonts w:ascii="仿宋" w:hAnsi="仿宋" w:eastAsia="仿宋"/>
          <w:bCs/>
          <w:sz w:val="32"/>
          <w:szCs w:val="32"/>
        </w:rPr>
        <w:t>05）：指反映机关事业单位实施养老保险制度由单位缴纳的基本养老保险费支出。</w:t>
      </w:r>
    </w:p>
    <w:p>
      <w:pPr>
        <w:ind w:firstLine="640" w:firstLineChars="200"/>
        <w:rPr>
          <w:rFonts w:ascii="仿宋" w:hAnsi="仿宋" w:eastAsia="仿宋"/>
          <w:bCs/>
          <w:sz w:val="32"/>
          <w:szCs w:val="32"/>
        </w:rPr>
      </w:pPr>
      <w:r>
        <w:rPr>
          <w:rFonts w:ascii="仿宋" w:hAnsi="仿宋" w:eastAsia="仿宋"/>
          <w:bCs/>
          <w:sz w:val="32"/>
          <w:szCs w:val="32"/>
        </w:rPr>
        <w:t>11.卫生健康支出（210）行政事业单位医疗（11）事业单位医疗（02）：反映财政部门安排的事业单位基本医疗保险缴费经费，未参加医疗保险的事业单位的公费医疗经费，按照国家规定享受离休人员待遇的医疗经费。</w:t>
      </w:r>
    </w:p>
    <w:p>
      <w:pPr>
        <w:ind w:firstLine="640" w:firstLineChars="200"/>
        <w:rPr>
          <w:rFonts w:ascii="仿宋" w:hAnsi="仿宋" w:eastAsia="仿宋"/>
          <w:bCs/>
          <w:sz w:val="32"/>
          <w:szCs w:val="32"/>
        </w:rPr>
      </w:pPr>
      <w:r>
        <w:rPr>
          <w:rFonts w:ascii="仿宋" w:hAnsi="仿宋" w:eastAsia="仿宋"/>
          <w:bCs/>
          <w:sz w:val="32"/>
          <w:szCs w:val="32"/>
        </w:rPr>
        <w:t>12.卫生健康支出（210）计划生育事务（07）计划生育机构（16）：反映卫生健康部门所属计划生育机构支出。</w:t>
      </w:r>
    </w:p>
    <w:p>
      <w:pPr>
        <w:ind w:firstLine="640" w:firstLineChars="200"/>
        <w:rPr>
          <w:rFonts w:ascii="仿宋" w:hAnsi="仿宋" w:eastAsia="仿宋"/>
          <w:bCs/>
          <w:sz w:val="32"/>
          <w:szCs w:val="32"/>
        </w:rPr>
      </w:pPr>
      <w:r>
        <w:rPr>
          <w:rFonts w:ascii="仿宋" w:hAnsi="仿宋" w:eastAsia="仿宋"/>
          <w:bCs/>
          <w:sz w:val="32"/>
          <w:szCs w:val="32"/>
        </w:rPr>
        <w:t>13.卫生健康支出（210）计划生育事务（07）计划生育服务（17）：反映计划生育服务支出。</w:t>
      </w:r>
    </w:p>
    <w:p>
      <w:pPr>
        <w:ind w:firstLine="640" w:firstLineChars="200"/>
        <w:rPr>
          <w:rFonts w:ascii="仿宋" w:hAnsi="仿宋" w:eastAsia="仿宋"/>
          <w:bCs/>
          <w:sz w:val="32"/>
          <w:szCs w:val="32"/>
        </w:rPr>
      </w:pPr>
      <w:r>
        <w:rPr>
          <w:rFonts w:ascii="仿宋" w:hAnsi="仿宋" w:eastAsia="仿宋"/>
          <w:bCs/>
          <w:sz w:val="32"/>
          <w:szCs w:val="32"/>
        </w:rPr>
        <w:t>14.住房保障支出（221）住房改革支出（02）住房公积金（01）：反映行政事业单位按人力资源和社会保障部、财政部规定的基本工资和津贴补贴以及规定比例为职工缴纳的住房公积金。</w:t>
      </w:r>
    </w:p>
    <w:p>
      <w:pPr>
        <w:ind w:firstLine="640" w:firstLineChars="200"/>
        <w:rPr>
          <w:rFonts w:ascii="仿宋" w:hAnsi="仿宋" w:eastAsia="仿宋"/>
          <w:bCs/>
          <w:sz w:val="32"/>
          <w:szCs w:val="32"/>
        </w:rPr>
      </w:pPr>
      <w:r>
        <w:rPr>
          <w:rFonts w:ascii="仿宋" w:hAnsi="仿宋" w:eastAsia="仿宋"/>
          <w:bCs/>
          <w:sz w:val="32"/>
          <w:szCs w:val="32"/>
        </w:rPr>
        <w:t>15.基本支出：指为保障机构正常运转、完成日常工作任务而发生的人员支出和公用支出。</w:t>
      </w:r>
    </w:p>
    <w:p>
      <w:pPr>
        <w:ind w:firstLine="640" w:firstLineChars="200"/>
        <w:rPr>
          <w:rFonts w:ascii="仿宋" w:hAnsi="仿宋" w:eastAsia="仿宋"/>
          <w:bCs/>
          <w:sz w:val="32"/>
          <w:szCs w:val="32"/>
        </w:rPr>
      </w:pPr>
      <w:r>
        <w:rPr>
          <w:rFonts w:ascii="仿宋" w:hAnsi="仿宋" w:eastAsia="仿宋"/>
          <w:bCs/>
          <w:sz w:val="32"/>
          <w:szCs w:val="32"/>
        </w:rPr>
        <w:t>16.项目支出：指在基本支出之外为完成特定行政任务和事业发展目标所发生的支出。 </w:t>
      </w:r>
    </w:p>
    <w:p>
      <w:pPr>
        <w:ind w:firstLine="640" w:firstLineChars="200"/>
        <w:rPr>
          <w:rFonts w:ascii="仿宋" w:hAnsi="仿宋" w:eastAsia="仿宋"/>
          <w:bCs/>
          <w:sz w:val="32"/>
          <w:szCs w:val="32"/>
        </w:rPr>
      </w:pPr>
      <w:r>
        <w:rPr>
          <w:rFonts w:ascii="仿宋" w:hAnsi="仿宋" w:eastAsia="仿宋"/>
          <w:bCs/>
          <w:sz w:val="32"/>
          <w:szCs w:val="32"/>
        </w:rPr>
        <w:t>17.经营支出：指事业单位在专业业务活动及其辅助活动之外开展非独立核算经营活动发生的支出。</w:t>
      </w:r>
    </w:p>
    <w:p>
      <w:pPr>
        <w:ind w:firstLine="640" w:firstLineChars="200"/>
        <w:rPr>
          <w:rFonts w:ascii="仿宋" w:hAnsi="仿宋" w:eastAsia="仿宋"/>
          <w:bCs/>
          <w:sz w:val="32"/>
          <w:szCs w:val="32"/>
        </w:rPr>
      </w:pPr>
      <w:r>
        <w:rPr>
          <w:rFonts w:ascii="仿宋" w:hAnsi="仿宋" w:eastAsia="仿宋"/>
          <w:bCs/>
          <w:sz w:val="32"/>
          <w:szCs w:val="32"/>
        </w:rPr>
        <w:t>18.“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ind w:firstLine="640" w:firstLineChars="200"/>
        <w:rPr>
          <w:rFonts w:ascii="仿宋" w:hAnsi="仿宋" w:eastAsia="仿宋"/>
          <w:bCs/>
          <w:sz w:val="32"/>
          <w:szCs w:val="32"/>
        </w:rPr>
      </w:pPr>
      <w:r>
        <w:rPr>
          <w:rFonts w:ascii="仿宋" w:hAnsi="仿宋" w:eastAsia="仿宋"/>
          <w:bCs/>
          <w:sz w:val="32"/>
          <w:szCs w:val="32"/>
        </w:rPr>
        <w:t>19.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3"/>
        <w:ind w:firstLine="2650" w:firstLineChars="600"/>
      </w:pPr>
      <w:bookmarkStart w:id="69" w:name="_Toc15396618"/>
      <w:bookmarkStart w:id="70" w:name="_Toc15377226"/>
      <w:r>
        <w:rPr>
          <w:rFonts w:hint="eastAsia" w:ascii="黑体" w:hAnsi="黑体" w:eastAsia="黑体" w:cs="黑体"/>
        </w:rPr>
        <w:t>第四部分</w:t>
      </w:r>
      <w:r>
        <w:rPr>
          <w:rFonts w:hint="eastAsia"/>
        </w:rPr>
        <w:t xml:space="preserve"> 附件</w:t>
      </w:r>
    </w:p>
    <w:p>
      <w:pPr>
        <w:rPr>
          <w:sz w:val="28"/>
          <w:szCs w:val="28"/>
        </w:rPr>
      </w:pPr>
      <w:r>
        <w:rPr>
          <w:rFonts w:hint="eastAsia"/>
          <w:sz w:val="28"/>
          <w:szCs w:val="28"/>
        </w:rPr>
        <w:t>附件1</w:t>
      </w:r>
    </w:p>
    <w:p>
      <w:pPr>
        <w:spacing w:line="620" w:lineRule="exact"/>
        <w:jc w:val="center"/>
        <w:rPr>
          <w:rFonts w:eastAsia="楷体_GB2312"/>
          <w:b/>
          <w:bCs/>
          <w:sz w:val="44"/>
          <w:szCs w:val="44"/>
          <w:shd w:val="clear" w:color="auto" w:fill="FFFFFF"/>
        </w:rPr>
      </w:pPr>
      <w:r>
        <w:rPr>
          <w:rFonts w:hint="eastAsia" w:eastAsia="楷体_GB2312"/>
          <w:b/>
          <w:bCs/>
          <w:sz w:val="44"/>
          <w:szCs w:val="44"/>
          <w:shd w:val="clear" w:color="auto" w:fill="FFFFFF"/>
        </w:rPr>
        <w:t>遂宁市紧急医疗救援中心</w:t>
      </w:r>
    </w:p>
    <w:p>
      <w:pPr>
        <w:spacing w:line="620" w:lineRule="exact"/>
        <w:jc w:val="center"/>
        <w:rPr>
          <w:rFonts w:eastAsia="楷体_GB2312"/>
          <w:b/>
          <w:bCs/>
          <w:sz w:val="44"/>
          <w:szCs w:val="44"/>
          <w:shd w:val="clear" w:color="auto" w:fill="FFFFFF"/>
        </w:rPr>
      </w:pPr>
      <w:r>
        <w:rPr>
          <w:rFonts w:hint="eastAsia" w:eastAsia="楷体_GB2312"/>
          <w:b/>
          <w:bCs/>
          <w:sz w:val="44"/>
          <w:szCs w:val="44"/>
          <w:shd w:val="clear" w:color="auto" w:fill="FFFFFF"/>
        </w:rPr>
        <w:t>2024年整体支出绩效报告</w:t>
      </w:r>
    </w:p>
    <w:p/>
    <w:p>
      <w:pPr>
        <w:widowControl/>
        <w:adjustRightInd w:val="0"/>
        <w:snapToGrid w:val="0"/>
        <w:spacing w:line="620" w:lineRule="exact"/>
        <w:contextualSpacing/>
        <w:jc w:val="left"/>
        <w:rPr>
          <w:rFonts w:ascii="仿宋_GB2312" w:hAnsi="宋体" w:eastAsia="仿宋_GB2312" w:cs="宋体"/>
          <w:b/>
          <w:bCs/>
          <w:kern w:val="0"/>
          <w:sz w:val="36"/>
          <w:szCs w:val="36"/>
          <w:shd w:val="clear" w:color="auto" w:fill="FFFFFF"/>
          <w:lang w:val="zh-CN"/>
        </w:rPr>
      </w:pPr>
      <w:r>
        <w:rPr>
          <w:rFonts w:hint="eastAsia" w:ascii="仿宋_GB2312" w:hAnsi="宋体" w:eastAsia="仿宋_GB2312" w:cs="宋体"/>
          <w:b/>
          <w:bCs/>
          <w:kern w:val="0"/>
          <w:sz w:val="36"/>
          <w:szCs w:val="36"/>
          <w:shd w:val="clear" w:color="auto" w:fill="FFFFFF"/>
          <w:lang w:val="zh-CN"/>
        </w:rPr>
        <w:t>部门（单位）概况</w:t>
      </w:r>
    </w:p>
    <w:p>
      <w:pPr>
        <w:widowControl/>
        <w:adjustRightInd w:val="0"/>
        <w:snapToGrid w:val="0"/>
        <w:spacing w:line="620" w:lineRule="exact"/>
        <w:contextualSpacing/>
        <w:jc w:val="left"/>
        <w:rPr>
          <w:rFonts w:ascii="仿宋_GB2312" w:hAnsi="宋体" w:eastAsia="仿宋_GB2312" w:cs="宋体"/>
          <w:b/>
          <w:bCs/>
          <w:kern w:val="0"/>
          <w:sz w:val="36"/>
          <w:szCs w:val="36"/>
          <w:shd w:val="clear" w:color="auto" w:fill="FFFFFF"/>
          <w:lang w:val="zh-CN"/>
        </w:rPr>
      </w:pPr>
      <w:r>
        <w:rPr>
          <w:rFonts w:hint="eastAsia" w:ascii="仿宋_GB2312" w:hAnsi="宋体" w:eastAsia="仿宋_GB2312" w:cs="宋体"/>
          <w:b/>
          <w:bCs/>
          <w:kern w:val="0"/>
          <w:sz w:val="36"/>
          <w:szCs w:val="36"/>
          <w:shd w:val="clear" w:color="auto" w:fill="FFFFFF"/>
          <w:lang w:val="zh-CN"/>
        </w:rPr>
        <w:t>（一）机构组成</w:t>
      </w:r>
    </w:p>
    <w:p>
      <w:pPr>
        <w:spacing w:line="590" w:lineRule="exact"/>
        <w:ind w:firstLine="640" w:firstLineChars="200"/>
        <w:jc w:val="left"/>
        <w:rPr>
          <w:rFonts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rPr>
        <w:t>遂宁市紧急医疗救援中心有4个</w:t>
      </w:r>
      <w:r>
        <w:rPr>
          <w:rFonts w:hint="eastAsia" w:ascii="仿宋" w:hAnsi="仿宋" w:eastAsia="仿宋" w:cs="仿宋"/>
          <w:color w:val="000000"/>
          <w:kern w:val="0"/>
          <w:sz w:val="32"/>
          <w:szCs w:val="32"/>
          <w:shd w:val="clear" w:color="auto" w:fill="FFFFFF"/>
          <w:lang w:val="zh-CN"/>
        </w:rPr>
        <w:t>内设机构：综合办公</w:t>
      </w:r>
      <w:r>
        <w:rPr>
          <w:rFonts w:hint="eastAsia" w:ascii="仿宋" w:hAnsi="仿宋" w:eastAsia="仿宋" w:cs="仿宋"/>
          <w:color w:val="000000"/>
          <w:kern w:val="0"/>
          <w:sz w:val="32"/>
          <w:szCs w:val="32"/>
          <w:shd w:val="clear" w:color="auto" w:fill="FFFFFF"/>
        </w:rPr>
        <w:t>室</w:t>
      </w:r>
      <w:r>
        <w:rPr>
          <w:rFonts w:hint="eastAsia" w:ascii="仿宋" w:hAnsi="仿宋" w:eastAsia="仿宋" w:cs="仿宋"/>
          <w:color w:val="000000"/>
          <w:kern w:val="0"/>
          <w:sz w:val="32"/>
          <w:szCs w:val="32"/>
          <w:shd w:val="clear" w:color="auto" w:fill="FFFFFF"/>
          <w:lang w:val="zh-CN"/>
        </w:rPr>
        <w:t>、调度科、急救医疗科、网络管理科。</w:t>
      </w:r>
    </w:p>
    <w:p>
      <w:pPr>
        <w:spacing w:line="590" w:lineRule="exact"/>
        <w:ind w:firstLine="640" w:firstLineChars="200"/>
        <w:rPr>
          <w:rFonts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rPr>
        <w:t>1.综合办公室 ：</w:t>
      </w:r>
      <w:r>
        <w:rPr>
          <w:rFonts w:hint="eastAsia" w:ascii="仿宋" w:hAnsi="仿宋" w:eastAsia="仿宋" w:cs="仿宋"/>
          <w:color w:val="000000"/>
          <w:kern w:val="0"/>
          <w:sz w:val="32"/>
          <w:szCs w:val="32"/>
          <w:shd w:val="clear" w:color="auto" w:fill="FFFFFF"/>
          <w:lang w:val="zh-CN"/>
        </w:rPr>
        <w:t>负责公文、党务、人事、财务、工会、对外接待、对外宣传、安全生产、后勤保障、对外联络等工作。</w:t>
      </w:r>
    </w:p>
    <w:p>
      <w:pPr>
        <w:spacing w:line="590" w:lineRule="exact"/>
        <w:ind w:firstLine="640" w:firstLineChars="200"/>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2.通讯调度科：</w:t>
      </w:r>
      <w:r>
        <w:rPr>
          <w:rFonts w:hint="eastAsia" w:ascii="仿宋" w:hAnsi="仿宋" w:eastAsia="仿宋" w:cs="仿宋"/>
          <w:color w:val="000000"/>
          <w:kern w:val="0"/>
          <w:sz w:val="32"/>
          <w:szCs w:val="32"/>
          <w:shd w:val="clear" w:color="auto" w:fill="FFFFFF"/>
          <w:lang w:val="zh-CN"/>
        </w:rPr>
        <w:t>负责24小时接收全市</w:t>
      </w:r>
      <w:r>
        <w:rPr>
          <w:rFonts w:hint="eastAsia" w:ascii="仿宋" w:hAnsi="仿宋" w:eastAsia="仿宋" w:cs="仿宋"/>
          <w:color w:val="000000"/>
          <w:kern w:val="0"/>
          <w:sz w:val="32"/>
          <w:szCs w:val="32"/>
          <w:shd w:val="clear" w:color="auto" w:fill="FFFFFF"/>
        </w:rPr>
        <w:t>120急救</w:t>
      </w:r>
      <w:r>
        <w:rPr>
          <w:rFonts w:hint="eastAsia" w:ascii="仿宋" w:hAnsi="仿宋" w:eastAsia="仿宋" w:cs="仿宋"/>
          <w:color w:val="000000"/>
          <w:kern w:val="0"/>
          <w:sz w:val="32"/>
          <w:szCs w:val="32"/>
          <w:shd w:val="clear" w:color="auto" w:fill="FFFFFF"/>
          <w:lang w:val="zh-CN"/>
        </w:rPr>
        <w:t>电话</w:t>
      </w:r>
      <w:r>
        <w:rPr>
          <w:rFonts w:hint="eastAsia" w:ascii="仿宋" w:hAnsi="仿宋" w:eastAsia="仿宋" w:cs="仿宋"/>
          <w:color w:val="000000"/>
          <w:kern w:val="0"/>
          <w:sz w:val="32"/>
          <w:szCs w:val="32"/>
          <w:shd w:val="clear" w:color="auto" w:fill="FFFFFF"/>
        </w:rPr>
        <w:t>，做好日常急救和突发事件的</w:t>
      </w:r>
      <w:r>
        <w:rPr>
          <w:rFonts w:hint="eastAsia" w:ascii="仿宋" w:hAnsi="仿宋" w:eastAsia="仿宋" w:cs="仿宋"/>
          <w:color w:val="000000"/>
          <w:kern w:val="0"/>
          <w:sz w:val="32"/>
          <w:szCs w:val="32"/>
          <w:shd w:val="clear" w:color="auto" w:fill="FFFFFF"/>
          <w:lang w:val="zh-CN"/>
        </w:rPr>
        <w:t>受理、调度、指挥</w:t>
      </w:r>
      <w:r>
        <w:rPr>
          <w:rFonts w:hint="eastAsia" w:ascii="仿宋" w:hAnsi="仿宋" w:eastAsia="仿宋" w:cs="仿宋"/>
          <w:color w:val="000000"/>
          <w:kern w:val="0"/>
          <w:sz w:val="32"/>
          <w:szCs w:val="32"/>
          <w:shd w:val="clear" w:color="auto" w:fill="FFFFFF"/>
        </w:rPr>
        <w:t>和</w:t>
      </w:r>
      <w:r>
        <w:rPr>
          <w:rFonts w:hint="eastAsia" w:ascii="仿宋" w:hAnsi="仿宋" w:eastAsia="仿宋" w:cs="仿宋"/>
          <w:color w:val="000000"/>
          <w:kern w:val="0"/>
          <w:sz w:val="32"/>
          <w:szCs w:val="32"/>
          <w:shd w:val="clear" w:color="auto" w:fill="FFFFFF"/>
          <w:lang w:val="zh-CN"/>
        </w:rPr>
        <w:t>协调</w:t>
      </w:r>
      <w:r>
        <w:rPr>
          <w:rFonts w:hint="eastAsia" w:ascii="仿宋" w:hAnsi="仿宋" w:eastAsia="仿宋" w:cs="仿宋"/>
          <w:color w:val="000000"/>
          <w:kern w:val="0"/>
          <w:sz w:val="32"/>
          <w:szCs w:val="32"/>
          <w:shd w:val="clear" w:color="auto" w:fill="FFFFFF"/>
        </w:rPr>
        <w:t>处置工作。</w:t>
      </w:r>
    </w:p>
    <w:p>
      <w:pPr>
        <w:spacing w:line="590" w:lineRule="exact"/>
        <w:ind w:firstLine="640" w:firstLineChars="200"/>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3.急救医疗科：</w:t>
      </w:r>
      <w:r>
        <w:rPr>
          <w:rFonts w:hint="eastAsia" w:ascii="仿宋" w:hAnsi="仿宋" w:eastAsia="仿宋" w:cs="仿宋"/>
          <w:color w:val="000000"/>
          <w:kern w:val="0"/>
          <w:sz w:val="32"/>
          <w:szCs w:val="32"/>
          <w:shd w:val="clear" w:color="auto" w:fill="FFFFFF"/>
          <w:lang w:val="zh-CN"/>
        </w:rPr>
        <w:t>负责院前急救，转运和重症病人转运途中监护工作，开展急救知识普及宣传活动，</w:t>
      </w:r>
      <w:r>
        <w:rPr>
          <w:rFonts w:hint="eastAsia" w:ascii="仿宋" w:hAnsi="仿宋" w:eastAsia="仿宋" w:cs="仿宋"/>
          <w:color w:val="000000"/>
          <w:kern w:val="0"/>
          <w:sz w:val="32"/>
          <w:szCs w:val="32"/>
          <w:shd w:val="clear" w:color="auto" w:fill="FFFFFF"/>
        </w:rPr>
        <w:t>负责建设和运维120急救体验中心，以及培训室管理工作，协助重要会议和活动的</w:t>
      </w:r>
      <w:r>
        <w:rPr>
          <w:rFonts w:hint="eastAsia" w:ascii="仿宋" w:hAnsi="仿宋" w:eastAsia="仿宋" w:cs="仿宋"/>
          <w:color w:val="000000"/>
          <w:kern w:val="0"/>
          <w:sz w:val="32"/>
          <w:szCs w:val="32"/>
          <w:shd w:val="clear" w:color="auto" w:fill="FFFFFF"/>
          <w:lang w:val="zh-CN"/>
        </w:rPr>
        <w:t>医疗保障工作，负责</w:t>
      </w:r>
      <w:r>
        <w:rPr>
          <w:rFonts w:hint="eastAsia" w:ascii="仿宋" w:hAnsi="仿宋" w:eastAsia="仿宋" w:cs="仿宋"/>
          <w:color w:val="000000"/>
          <w:kern w:val="0"/>
          <w:sz w:val="32"/>
          <w:szCs w:val="32"/>
          <w:shd w:val="clear" w:color="auto" w:fill="FFFFFF"/>
        </w:rPr>
        <w:t>院前</w:t>
      </w:r>
      <w:r>
        <w:rPr>
          <w:rFonts w:hint="eastAsia" w:ascii="仿宋" w:hAnsi="仿宋" w:eastAsia="仿宋" w:cs="仿宋"/>
          <w:color w:val="000000"/>
          <w:kern w:val="0"/>
          <w:sz w:val="32"/>
          <w:szCs w:val="32"/>
          <w:shd w:val="clear" w:color="auto" w:fill="FFFFFF"/>
          <w:lang w:val="zh-CN"/>
        </w:rPr>
        <w:t>急救设施设备和</w:t>
      </w:r>
      <w:r>
        <w:rPr>
          <w:rFonts w:hint="eastAsia" w:ascii="仿宋" w:hAnsi="仿宋" w:eastAsia="仿宋" w:cs="仿宋"/>
          <w:color w:val="000000"/>
          <w:kern w:val="0"/>
          <w:sz w:val="32"/>
          <w:szCs w:val="32"/>
          <w:shd w:val="clear" w:color="auto" w:fill="FFFFFF"/>
        </w:rPr>
        <w:t>应急物资管理与维护，负责AED建设和维护。</w:t>
      </w:r>
    </w:p>
    <w:p>
      <w:pPr>
        <w:widowControl/>
        <w:adjustRightInd w:val="0"/>
        <w:snapToGrid w:val="0"/>
        <w:spacing w:line="580" w:lineRule="exact"/>
        <w:ind w:firstLine="640" w:firstLineChars="200"/>
        <w:contextualSpacing/>
        <w:jc w:val="left"/>
        <w:rPr>
          <w:rFonts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rPr>
        <w:t>4.网络管理科：负责对急救分中心、120网络医院基础数据进行收集、整理、汇总、分析、保存，为院前急救网络站点建设和管理提供数据和依据，负责对急救分中心、120网络医院开展院前急救质量控制工作督查、检查和指导。</w:t>
      </w:r>
    </w:p>
    <w:p>
      <w:pPr>
        <w:widowControl/>
        <w:adjustRightInd w:val="0"/>
        <w:snapToGrid w:val="0"/>
        <w:spacing w:line="580" w:lineRule="exact"/>
        <w:ind w:firstLine="640" w:firstLineChars="200"/>
        <w:contextualSpacing/>
        <w:jc w:val="left"/>
        <w:rPr>
          <w:rFonts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（二）机构职能</w:t>
      </w:r>
    </w:p>
    <w:p>
      <w:pPr>
        <w:widowControl/>
        <w:adjustRightInd w:val="0"/>
        <w:snapToGrid w:val="0"/>
        <w:spacing w:line="580" w:lineRule="exact"/>
        <w:ind w:firstLine="640" w:firstLineChars="200"/>
        <w:contextualSpacing/>
        <w:jc w:val="left"/>
        <w:rPr>
          <w:rFonts w:ascii="仿宋" w:hAnsi="仿宋" w:eastAsia="仿宋" w:cs="仿宋"/>
          <w:sz w:val="32"/>
          <w:szCs w:val="32"/>
          <w:lang w:val="zh-CN"/>
        </w:rPr>
      </w:pPr>
      <w:r>
        <w:rPr>
          <w:rFonts w:hint="eastAsia" w:ascii="仿宋" w:hAnsi="仿宋" w:eastAsia="仿宋" w:cs="仿宋"/>
          <w:color w:val="000000"/>
          <w:kern w:val="0"/>
          <w:sz w:val="32"/>
          <w:szCs w:val="32"/>
          <w:shd w:val="clear" w:color="auto" w:fill="FFFFFF"/>
        </w:rPr>
        <w:t>遂宁市紧急医疗救援中心主要承担着全市120急救的统一调度、统一指挥，开展院前急救及转运，急救知识宣传普及、技术培训和急救医疗科研及学术交流，负责全市突发公共卫生事件的医疗急救指挥、调度、信息收集和报告，与110、119、122等全面联系形成遂宁市社会应急联动系统</w:t>
      </w:r>
      <w:r>
        <w:rPr>
          <w:rFonts w:hint="eastAsia" w:ascii="仿宋" w:hAnsi="仿宋" w:eastAsia="仿宋" w:cs="仿宋"/>
          <w:color w:val="000000"/>
          <w:sz w:val="32"/>
          <w:szCs w:val="32"/>
        </w:rPr>
        <w:t>。</w:t>
      </w:r>
    </w:p>
    <w:p>
      <w:pPr>
        <w:widowControl/>
        <w:adjustRightInd w:val="0"/>
        <w:snapToGrid w:val="0"/>
        <w:spacing w:line="580" w:lineRule="exact"/>
        <w:ind w:firstLine="640" w:firstLineChars="200"/>
        <w:contextualSpacing/>
        <w:jc w:val="left"/>
        <w:rPr>
          <w:rFonts w:ascii="仿宋" w:hAnsi="仿宋" w:eastAsia="仿宋" w:cs="仿宋"/>
          <w:color w:val="000000"/>
          <w:sz w:val="32"/>
          <w:szCs w:val="32"/>
          <w:lang w:val="zh-CN"/>
        </w:rPr>
      </w:pPr>
      <w:r>
        <w:rPr>
          <w:rFonts w:hint="eastAsia" w:ascii="仿宋" w:hAnsi="仿宋" w:eastAsia="仿宋" w:cs="仿宋"/>
          <w:color w:val="000000"/>
          <w:sz w:val="32"/>
          <w:szCs w:val="32"/>
          <w:lang w:val="zh-CN"/>
        </w:rPr>
        <w:t>（</w:t>
      </w:r>
      <w:r>
        <w:rPr>
          <w:rFonts w:hint="eastAsia" w:ascii="仿宋" w:hAnsi="仿宋" w:eastAsia="仿宋" w:cs="仿宋"/>
          <w:color w:val="000000"/>
          <w:sz w:val="32"/>
          <w:szCs w:val="32"/>
        </w:rPr>
        <w:t>三）</w:t>
      </w:r>
      <w:r>
        <w:rPr>
          <w:rFonts w:hint="eastAsia" w:ascii="仿宋" w:hAnsi="仿宋" w:eastAsia="仿宋" w:cs="仿宋"/>
          <w:color w:val="000000"/>
          <w:sz w:val="32"/>
          <w:szCs w:val="32"/>
          <w:lang w:val="zh-CN"/>
        </w:rPr>
        <w:t>人员概况</w:t>
      </w:r>
    </w:p>
    <w:p>
      <w:pPr>
        <w:widowControl/>
        <w:adjustRightInd w:val="0"/>
        <w:snapToGrid w:val="0"/>
        <w:spacing w:line="580" w:lineRule="exact"/>
        <w:ind w:firstLine="640" w:firstLineChars="200"/>
        <w:contextualSpacing/>
        <w:jc w:val="left"/>
        <w:rPr>
          <w:rFonts w:ascii="仿宋" w:hAnsi="仿宋" w:eastAsia="仿宋" w:cs="仿宋"/>
          <w:color w:val="000000"/>
          <w:sz w:val="32"/>
          <w:szCs w:val="32"/>
        </w:rPr>
      </w:pPr>
      <w:r>
        <w:rPr>
          <w:rFonts w:hint="eastAsia" w:ascii="仿宋" w:hAnsi="仿宋" w:eastAsia="仿宋" w:cs="仿宋"/>
          <w:color w:val="000000"/>
          <w:sz w:val="32"/>
          <w:szCs w:val="32"/>
        </w:rPr>
        <w:t xml:space="preserve"> 我单位是遂宁市卫生健康委员会</w:t>
      </w:r>
      <w:r>
        <w:rPr>
          <w:rFonts w:hint="eastAsia" w:ascii="仿宋" w:hAnsi="仿宋" w:eastAsia="仿宋" w:cs="仿宋"/>
          <w:color w:val="000000"/>
          <w:sz w:val="32"/>
          <w:szCs w:val="32"/>
          <w:lang w:eastAsia="zh-CN"/>
        </w:rPr>
        <w:t>属下</w:t>
      </w:r>
      <w:r>
        <w:rPr>
          <w:rFonts w:hint="eastAsia" w:ascii="仿宋" w:hAnsi="仿宋" w:eastAsia="仿宋" w:cs="仿宋"/>
          <w:color w:val="000000"/>
          <w:sz w:val="32"/>
          <w:szCs w:val="32"/>
        </w:rPr>
        <w:t>的全额拨款事业单位，2024年底在编在职财政全额拨款事业人员19人，退休人员2人，编外长期聘用人员5人。</w:t>
      </w:r>
    </w:p>
    <w:p>
      <w:pPr>
        <w:widowControl/>
        <w:adjustRightInd w:val="0"/>
        <w:snapToGrid w:val="0"/>
        <w:spacing w:line="620" w:lineRule="exact"/>
        <w:contextualSpacing/>
        <w:jc w:val="left"/>
        <w:rPr>
          <w:rFonts w:ascii="仿宋_GB2312" w:hAnsi="宋体" w:eastAsia="仿宋_GB2312" w:cs="宋体"/>
          <w:b/>
          <w:bCs/>
          <w:kern w:val="0"/>
          <w:sz w:val="36"/>
          <w:szCs w:val="36"/>
          <w:shd w:val="clear" w:color="auto" w:fill="FFFFFF"/>
        </w:rPr>
      </w:pPr>
      <w:r>
        <w:rPr>
          <w:rFonts w:hint="eastAsia" w:ascii="仿宋_GB2312" w:hAnsi="宋体" w:eastAsia="仿宋_GB2312" w:cs="宋体"/>
          <w:b/>
          <w:bCs/>
          <w:kern w:val="0"/>
          <w:sz w:val="36"/>
          <w:szCs w:val="36"/>
          <w:shd w:val="clear" w:color="auto" w:fill="FFFFFF"/>
        </w:rPr>
        <w:t>二、部门财政资金收支情况</w:t>
      </w:r>
    </w:p>
    <w:p>
      <w:pPr>
        <w:widowControl/>
        <w:adjustRightInd w:val="0"/>
        <w:snapToGrid w:val="0"/>
        <w:spacing w:line="580" w:lineRule="exact"/>
        <w:ind w:firstLine="640" w:firstLineChars="200"/>
        <w:contextualSpacing/>
        <w:jc w:val="left"/>
        <w:rPr>
          <w:rFonts w:ascii="仿宋" w:hAnsi="仿宋" w:eastAsia="仿宋" w:cs="仿宋"/>
          <w:sz w:val="32"/>
          <w:szCs w:val="32"/>
          <w:lang w:val="zh-CN"/>
        </w:rPr>
      </w:pPr>
      <w:r>
        <w:rPr>
          <w:rFonts w:hint="eastAsia" w:ascii="仿宋" w:hAnsi="仿宋" w:eastAsia="仿宋" w:cs="仿宋"/>
          <w:sz w:val="32"/>
          <w:szCs w:val="32"/>
          <w:lang w:val="zh-CN"/>
        </w:rPr>
        <w:t>（一）部门财政资金收入情况</w:t>
      </w:r>
    </w:p>
    <w:p>
      <w:pPr>
        <w:widowControl/>
        <w:adjustRightInd w:val="0"/>
        <w:snapToGrid w:val="0"/>
        <w:spacing w:line="580" w:lineRule="exact"/>
        <w:ind w:firstLine="640" w:firstLineChars="200"/>
        <w:contextualSpacing/>
        <w:jc w:val="left"/>
        <w:rPr>
          <w:rFonts w:ascii="仿宋" w:hAnsi="仿宋" w:eastAsia="仿宋" w:cs="仿宋"/>
          <w:sz w:val="32"/>
          <w:szCs w:val="32"/>
        </w:rPr>
      </w:pPr>
      <w:r>
        <w:rPr>
          <w:rFonts w:hint="eastAsia" w:ascii="仿宋" w:hAnsi="仿宋" w:eastAsia="仿宋" w:cs="仿宋"/>
          <w:sz w:val="32"/>
          <w:szCs w:val="32"/>
        </w:rPr>
        <w:t>2024年遂宁市紧急救援中心年初预算397.31万元，其中全年财政拨款465.23万元，年末决算预算收入总额为458.33万元，其中：财政拨款收入458.33万元。</w:t>
      </w:r>
    </w:p>
    <w:p>
      <w:pPr>
        <w:widowControl/>
        <w:adjustRightInd w:val="0"/>
        <w:snapToGrid w:val="0"/>
        <w:spacing w:line="620" w:lineRule="exact"/>
        <w:ind w:firstLine="640" w:firstLineChars="200"/>
        <w:contextualSpacing/>
        <w:jc w:val="left"/>
        <w:rPr>
          <w:rFonts w:ascii="仿宋" w:hAnsi="仿宋" w:eastAsia="仿宋" w:cs="仿宋"/>
          <w:sz w:val="32"/>
          <w:szCs w:val="32"/>
          <w:lang w:val="zh-CN"/>
        </w:rPr>
      </w:pPr>
      <w:r>
        <w:rPr>
          <w:rFonts w:hint="eastAsia" w:ascii="仿宋" w:hAnsi="仿宋" w:eastAsia="仿宋" w:cs="仿宋"/>
          <w:sz w:val="32"/>
          <w:szCs w:val="32"/>
          <w:lang w:val="zh-CN"/>
        </w:rPr>
        <w:t>（</w:t>
      </w:r>
      <w:r>
        <w:rPr>
          <w:rFonts w:hint="eastAsia" w:ascii="仿宋" w:hAnsi="仿宋" w:eastAsia="仿宋" w:cs="仿宋"/>
          <w:sz w:val="32"/>
          <w:szCs w:val="32"/>
        </w:rPr>
        <w:t>二）</w:t>
      </w:r>
      <w:r>
        <w:rPr>
          <w:rFonts w:hint="eastAsia" w:ascii="仿宋" w:hAnsi="仿宋" w:eastAsia="仿宋" w:cs="仿宋"/>
          <w:sz w:val="32"/>
          <w:szCs w:val="32"/>
          <w:lang w:val="zh-CN"/>
        </w:rPr>
        <w:t>部门财政资金支出情况</w:t>
      </w:r>
    </w:p>
    <w:p>
      <w:pPr>
        <w:widowControl/>
        <w:adjustRightInd w:val="0"/>
        <w:snapToGrid w:val="0"/>
        <w:spacing w:line="620" w:lineRule="exact"/>
        <w:ind w:firstLine="640" w:firstLineChars="200"/>
        <w:contextualSpacing/>
        <w:jc w:val="left"/>
        <w:rPr>
          <w:rFonts w:ascii="仿宋" w:hAnsi="仿宋" w:eastAsia="仿宋" w:cs="仿宋"/>
          <w:sz w:val="32"/>
          <w:szCs w:val="32"/>
        </w:rPr>
      </w:pPr>
      <w:r>
        <w:rPr>
          <w:rFonts w:hint="eastAsia" w:ascii="仿宋" w:hAnsi="仿宋" w:eastAsia="仿宋" w:cs="仿宋"/>
          <w:sz w:val="32"/>
          <w:szCs w:val="32"/>
        </w:rPr>
        <w:t>2024年年初单位财政资金支出总预算397.31万元</w:t>
      </w:r>
      <w:r>
        <w:rPr>
          <w:rFonts w:hint="eastAsia" w:ascii="仿宋" w:hAnsi="仿宋" w:eastAsia="仿宋" w:cs="仿宋"/>
          <w:sz w:val="32"/>
          <w:szCs w:val="32"/>
          <w:lang w:val="zh-CN"/>
        </w:rPr>
        <w:t>，</w:t>
      </w:r>
      <w:r>
        <w:rPr>
          <w:rFonts w:hint="eastAsia" w:ascii="仿宋" w:hAnsi="仿宋" w:eastAsia="仿宋" w:cs="仿宋"/>
          <w:sz w:val="32"/>
          <w:szCs w:val="32"/>
        </w:rPr>
        <w:t>其中：基本支出376.89万元，项目支出20.42，年末支出决算数为458.33万元，其中：基本支出409.15万元，项目支出为49.18万元。</w:t>
      </w:r>
    </w:p>
    <w:p>
      <w:pPr>
        <w:widowControl/>
        <w:adjustRightInd w:val="0"/>
        <w:snapToGrid w:val="0"/>
        <w:spacing w:line="620" w:lineRule="exact"/>
        <w:ind w:firstLine="640" w:firstLineChars="200"/>
        <w:contextualSpacing/>
        <w:jc w:val="left"/>
        <w:rPr>
          <w:rFonts w:ascii="仿宋" w:hAnsi="仿宋" w:eastAsia="仿宋" w:cs="仿宋"/>
          <w:sz w:val="32"/>
          <w:szCs w:val="32"/>
          <w:lang w:val="zh-CN"/>
        </w:rPr>
      </w:pPr>
      <w:r>
        <w:rPr>
          <w:rFonts w:hint="eastAsia" w:ascii="仿宋" w:hAnsi="仿宋" w:eastAsia="仿宋" w:cs="仿宋"/>
          <w:sz w:val="32"/>
          <w:szCs w:val="32"/>
          <w:lang w:val="zh-CN"/>
        </w:rPr>
        <w:t>（三）结余分配和结转结余情况。</w:t>
      </w:r>
    </w:p>
    <w:p>
      <w:pPr>
        <w:tabs>
          <w:tab w:val="left" w:pos="729"/>
        </w:tabs>
        <w:jc w:val="left"/>
        <w:rPr>
          <w:rFonts w:ascii="仿宋" w:hAnsi="仿宋" w:eastAsia="仿宋" w:cs="仿宋"/>
          <w:sz w:val="32"/>
          <w:lang w:val="zh-CN"/>
        </w:rPr>
      </w:pPr>
      <w:r>
        <w:rPr>
          <w:rFonts w:hint="eastAsia" w:ascii="仿宋" w:hAnsi="仿宋" w:eastAsia="仿宋" w:cs="仿宋"/>
          <w:sz w:val="32"/>
          <w:lang w:val="zh-CN"/>
        </w:rPr>
        <w:tab/>
      </w:r>
      <w:r>
        <w:rPr>
          <w:rFonts w:hint="eastAsia" w:ascii="仿宋" w:hAnsi="仿宋" w:eastAsia="仿宋" w:cs="仿宋"/>
          <w:sz w:val="32"/>
          <w:lang w:val="zh-CN"/>
        </w:rPr>
        <w:t>本年度无结转结余。</w:t>
      </w:r>
    </w:p>
    <w:p>
      <w:pPr>
        <w:widowControl/>
        <w:adjustRightInd w:val="0"/>
        <w:snapToGrid w:val="0"/>
        <w:spacing w:line="620" w:lineRule="exact"/>
        <w:contextualSpacing/>
        <w:jc w:val="left"/>
        <w:rPr>
          <w:rFonts w:ascii="仿宋_GB2312" w:hAnsi="宋体" w:eastAsia="仿宋_GB2312" w:cs="宋体"/>
          <w:b/>
          <w:bCs/>
          <w:kern w:val="0"/>
          <w:sz w:val="36"/>
          <w:szCs w:val="36"/>
          <w:shd w:val="clear" w:color="auto" w:fill="FFFFFF"/>
          <w:lang w:val="zh-CN"/>
        </w:rPr>
      </w:pPr>
      <w:r>
        <w:rPr>
          <w:rFonts w:hint="eastAsia" w:ascii="仿宋_GB2312" w:hAnsi="宋体" w:eastAsia="仿宋_GB2312" w:cs="宋体"/>
          <w:b/>
          <w:bCs/>
          <w:kern w:val="0"/>
          <w:sz w:val="36"/>
          <w:szCs w:val="36"/>
          <w:shd w:val="clear" w:color="auto" w:fill="FFFFFF"/>
        </w:rPr>
        <w:t>三、单位预算绩效分析</w:t>
      </w:r>
    </w:p>
    <w:p>
      <w:pPr>
        <w:widowControl/>
        <w:adjustRightInd w:val="0"/>
        <w:snapToGrid w:val="0"/>
        <w:spacing w:line="620" w:lineRule="exact"/>
        <w:ind w:firstLine="640" w:firstLineChars="200"/>
        <w:contextualSpacing/>
        <w:jc w:val="left"/>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w:t>
      </w:r>
      <w:r>
        <w:rPr>
          <w:rFonts w:hint="eastAsia" w:ascii="方正楷体_GBK" w:hAnsi="方正楷体_GBK" w:eastAsia="方正楷体_GBK" w:cs="方正楷体_GBK"/>
          <w:sz w:val="32"/>
          <w:szCs w:val="32"/>
          <w:lang w:val="zh-CN"/>
        </w:rPr>
        <w:t>部门预算总体绩效分析。</w:t>
      </w:r>
    </w:p>
    <w:p>
      <w:pPr>
        <w:pStyle w:val="2"/>
        <w:ind w:firstLine="642" w:firstLineChars="200"/>
        <w:rPr>
          <w:rFonts w:ascii="仿宋" w:hAnsi="仿宋" w:eastAsia="仿宋" w:cs="仿宋"/>
          <w:szCs w:val="32"/>
        </w:rPr>
      </w:pPr>
      <w:r>
        <w:rPr>
          <w:rFonts w:hint="eastAsia" w:ascii="仿宋_GB2312" w:hAnsi="宋体" w:cs="宋体"/>
          <w:b/>
          <w:bCs/>
          <w:kern w:val="0"/>
          <w:szCs w:val="32"/>
          <w:shd w:val="clear" w:color="auto" w:fill="FFFFFF"/>
        </w:rPr>
        <w:t>1.履职效能</w:t>
      </w:r>
      <w:r>
        <w:rPr>
          <w:rFonts w:hint="eastAsia" w:ascii="仿宋_GB2312" w:hAnsi="宋体" w:cs="宋体"/>
          <w:kern w:val="0"/>
          <w:szCs w:val="32"/>
          <w:shd w:val="clear" w:color="auto" w:fill="FFFFFF"/>
        </w:rPr>
        <w:t>。</w:t>
      </w:r>
      <w:r>
        <w:rPr>
          <w:rFonts w:hint="eastAsia" w:ascii="仿宋_GB2312" w:hAnsi="宋体" w:cs="宋体"/>
          <w:kern w:val="0"/>
          <w:szCs w:val="32"/>
          <w:shd w:val="clear" w:color="auto" w:fill="FFFFFF"/>
          <w:lang w:eastAsia="zh-CN"/>
        </w:rPr>
        <w:t>①</w:t>
      </w:r>
      <w:r>
        <w:rPr>
          <w:rFonts w:hint="eastAsia" w:ascii="仿宋" w:hAnsi="仿宋" w:eastAsia="仿宋" w:cs="仿宋"/>
          <w:szCs w:val="32"/>
        </w:rPr>
        <w:t>指挥调度，为群众提供及时准确的急救医疗服务。2024年市紧急医疗救援中心共受理“120”报警电话180930次，急救派车42461次，救治伤病员 35216人。</w:t>
      </w:r>
    </w:p>
    <w:p>
      <w:r>
        <w:pict>
          <v:shape id="_x0000_i1026" o:spt="75" type="#_x0000_t75" style="height:74.55pt;width:448.95pt;" filled="f" o:preferrelative="t" stroked="f" coordsize="21600,21600">
            <v:path/>
            <v:fill on="f" focussize="0,0"/>
            <v:stroke on="f" joinstyle="miter"/>
            <v:imagedata r:id="rId25" o:title=""/>
            <o:lock v:ext="edit" aspectratio="t"/>
            <w10:wrap type="none"/>
            <w10:anchorlock/>
          </v:shape>
        </w:pict>
      </w:r>
    </w:p>
    <w:p>
      <w:pPr>
        <w:ind w:firstLine="640" w:firstLineChars="200"/>
        <w:rPr>
          <w:rFonts w:ascii="方正楷体_GBK" w:hAnsi="方正楷体_GBK" w:eastAsia="方正楷体_GBK" w:cs="方正楷体_GBK"/>
          <w:sz w:val="32"/>
          <w:szCs w:val="32"/>
        </w:rPr>
      </w:pPr>
      <w:r>
        <w:rPr>
          <w:rFonts w:hint="eastAsia" w:ascii="仿宋" w:hAnsi="仿宋" w:eastAsia="仿宋" w:cs="仿宋"/>
          <w:color w:val="000000"/>
          <w:kern w:val="0"/>
          <w:sz w:val="32"/>
          <w:szCs w:val="32"/>
          <w:shd w:val="clear" w:color="auto" w:fill="FFFFFF"/>
          <w:lang w:eastAsia="zh-CN"/>
        </w:rPr>
        <w:t>②</w:t>
      </w:r>
      <w:r>
        <w:rPr>
          <w:rFonts w:hint="eastAsia" w:ascii="仿宋" w:hAnsi="仿宋" w:eastAsia="仿宋" w:cs="仿宋"/>
          <w:sz w:val="32"/>
          <w:szCs w:val="32"/>
        </w:rPr>
        <w:t>加强指挥调度质控，保证指挥调度质量。2024年调度员10秒平均摘机时长4秒，10秒接听率100%，平均受理时长1分53秒，平均调派时长27秒，呼叫满足率100%。</w:t>
      </w:r>
    </w:p>
    <w:p>
      <w:pPr>
        <w:pStyle w:val="2"/>
      </w:pPr>
      <w:r>
        <w:pict>
          <v:shape id="_x0000_i1027" o:spt="75" type="#_x0000_t75" style="height:83.85pt;width:448.5pt;" filled="f" o:preferrelative="t" stroked="f" coordsize="21600,21600">
            <v:path/>
            <v:fill on="f" focussize="0,0"/>
            <v:stroke on="f" joinstyle="miter"/>
            <v:imagedata r:id="rId26" o:title=""/>
            <o:lock v:ext="edit" aspectratio="t"/>
            <w10:wrap type="none"/>
            <w10:anchorlock/>
          </v:shape>
        </w:pict>
      </w:r>
    </w:p>
    <w:p>
      <w:pPr>
        <w:ind w:firstLine="640" w:firstLineChars="200"/>
        <w:rPr>
          <w:rFonts w:ascii="仿宋" w:hAnsi="仿宋" w:eastAsia="仿宋" w:cs="仿宋"/>
          <w:sz w:val="32"/>
          <w:szCs w:val="32"/>
        </w:rPr>
      </w:pPr>
      <w:r>
        <w:rPr>
          <w:rFonts w:hint="eastAsia" w:ascii="仿宋" w:hAnsi="仿宋" w:eastAsia="仿宋" w:cs="仿宋"/>
          <w:sz w:val="32"/>
          <w:szCs w:val="32"/>
          <w:lang w:eastAsia="zh-CN"/>
        </w:rPr>
        <w:t>③</w:t>
      </w:r>
      <w:r>
        <w:rPr>
          <w:rFonts w:hint="eastAsia" w:ascii="仿宋" w:hAnsi="仿宋" w:eastAsia="仿宋" w:cs="仿宋"/>
          <w:sz w:val="32"/>
          <w:szCs w:val="32"/>
        </w:rPr>
        <w:t>完善急救体系建设，强化急救网络医院质控，提升“院端”服务能力和水平。一是对网络医院的急救信息进行了全面的收集、整理，对全市急救网络医院急救任务执行情况、调度员调度情况进行了全面分析总结，不断改进中心指挥调度工作，全年报送分析报告4期，为上级领导了解全市院前急救的状况提供了有力的数据；二是召开了院前急救工作推进会，以“一个中枢、两张网络”为总体思路，全面推进全市院前急救体系建设，为群众提供及时、安全、高效、方便、快捷的院前急救服务；三是以“12345”投诉处理为契机，查找中心指挥调度中存在的问题。进一步优化调度流程，本年受理“12345”中有关120的投诉8次，有效回复了投诉者，化解了矛盾，维护了120生命线的良好声誉；四是召开了遂潼区域急诊急救医疗质量培训研讨会，通过分享院前急救案例</w:t>
      </w:r>
      <w:r>
        <w:rPr>
          <w:rFonts w:hint="eastAsia" w:ascii="仿宋" w:hAnsi="仿宋" w:eastAsia="仿宋" w:cs="仿宋"/>
          <w:sz w:val="32"/>
          <w:szCs w:val="32"/>
          <w:lang w:eastAsia="zh-CN"/>
        </w:rPr>
        <w:t>，</w:t>
      </w:r>
      <w:r>
        <w:rPr>
          <w:rFonts w:hint="eastAsia" w:ascii="仿宋" w:hAnsi="仿宋" w:eastAsia="仿宋" w:cs="仿宋"/>
          <w:sz w:val="32"/>
          <w:szCs w:val="32"/>
        </w:rPr>
        <w:t>复盘整个救治过程等方法展开讨论并提出可行性建议，提升了急诊急救能力水平，助力遂潼区域院前医疗急救事业高质量发展；五是组织急诊</w:t>
      </w:r>
      <w:r>
        <w:rPr>
          <w:rFonts w:hint="eastAsia" w:ascii="仿宋" w:hAnsi="仿宋" w:eastAsia="仿宋" w:cs="仿宋"/>
          <w:sz w:val="32"/>
          <w:szCs w:val="32"/>
          <w:lang w:eastAsia="zh-CN"/>
        </w:rPr>
        <w:t>质控</w:t>
      </w:r>
      <w:r>
        <w:rPr>
          <w:rFonts w:hint="eastAsia" w:ascii="仿宋" w:hAnsi="仿宋" w:eastAsia="仿宋" w:cs="仿宋"/>
          <w:sz w:val="32"/>
          <w:szCs w:val="32"/>
        </w:rPr>
        <w:t>专家对43家网络医院进行了急诊质控检查；六是协助市卫生健康委开展全国院前急救工作信息管理平台的统计和填表工作，并上报详细数据。</w:t>
      </w:r>
    </w:p>
    <w:p>
      <w:pPr>
        <w:ind w:firstLine="420" w:firstLineChars="200"/>
        <w:rPr>
          <w:rFonts w:ascii="仿宋" w:hAnsi="仿宋" w:eastAsia="仿宋" w:cs="仿宋"/>
          <w:sz w:val="32"/>
          <w:szCs w:val="32"/>
        </w:rPr>
      </w:pPr>
      <w:r>
        <w:rPr>
          <w:rFonts w:hint="eastAsia" w:ascii="仿宋" w:hAnsi="仿宋" w:eastAsia="仿宋"/>
          <w:lang w:eastAsia="zh-CN"/>
        </w:rPr>
        <w:t>④</w:t>
      </w:r>
      <w:r>
        <w:rPr>
          <w:rFonts w:hint="eastAsia" w:ascii="仿宋" w:hAnsi="仿宋" w:eastAsia="仿宋" w:cs="方正楷体_GBK"/>
          <w:sz w:val="32"/>
          <w:szCs w:val="32"/>
        </w:rPr>
        <w:t>积极开展急救知识“五进”活动，提升急救知识社会普及率。</w:t>
      </w:r>
      <w:r>
        <w:rPr>
          <w:rFonts w:hint="eastAsia" w:ascii="仿宋" w:hAnsi="仿宋" w:eastAsia="仿宋" w:cs="方正黑体_GBK"/>
          <w:sz w:val="32"/>
          <w:szCs w:val="32"/>
        </w:rPr>
        <w:t>一</w:t>
      </w:r>
      <w:r>
        <w:rPr>
          <w:rFonts w:hint="eastAsia" w:ascii="仿宋" w:hAnsi="仿宋" w:eastAsia="仿宋" w:cs="仿宋"/>
          <w:sz w:val="32"/>
          <w:szCs w:val="32"/>
        </w:rPr>
        <w:t>是进入经开区龙桥社区，对辖区内50余名社区人员和群众进行了心肺复苏、创伤包扎等急救技能的操作培训；二是以“120急救日”为契机，联合市中心医院对50余名急救志愿者进行了急救知识培训。组织区县多个急救网络医院开展了“120急救日”急救知识公益宣传培训活动，累计培训群众1000余人；三是联合市中医院进入船山区燕山小学，对该校学生和工作人员100余人进行了急救知识培训；四是联合市中心医院深入船山区兴子堂君豪幼稚园，对该校150余名教职员工进行了心肺复苏、AED、海姆立克等急救技能的培训；五是联合遂宁市中心医院深入遂宁市经开区玉龙中学，对该校200余名师生进行了急救知识培训，通过培训急救知识社会普及率进一步提高，群众的急救意识进一步增强。</w:t>
      </w:r>
    </w:p>
    <w:p>
      <w:pPr>
        <w:ind w:firstLine="642" w:firstLineChars="200"/>
        <w:rPr>
          <w:rFonts w:ascii="仿宋" w:hAnsi="仿宋" w:eastAsia="仿宋" w:cs="仿宋"/>
          <w:color w:val="000000"/>
          <w:kern w:val="0"/>
          <w:sz w:val="32"/>
          <w:szCs w:val="32"/>
          <w:shd w:val="clear" w:color="auto" w:fill="FFFFFF"/>
        </w:rPr>
      </w:pPr>
      <w:r>
        <w:rPr>
          <w:rFonts w:hint="eastAsia" w:ascii="仿宋_GB2312" w:hAnsi="仿宋" w:cs="仿宋"/>
          <w:b/>
          <w:bCs/>
          <w:color w:val="000000"/>
          <w:kern w:val="0"/>
          <w:sz w:val="32"/>
          <w:szCs w:val="32"/>
          <w:shd w:val="clear" w:color="auto" w:fill="FFFFFF"/>
        </w:rPr>
        <w:t>2.预算管理</w:t>
      </w:r>
      <w:r>
        <w:rPr>
          <w:rFonts w:hint="eastAsia" w:ascii="仿宋_GB2312" w:hAnsi="仿宋" w:cs="仿宋"/>
          <w:color w:val="000000"/>
          <w:kern w:val="0"/>
          <w:sz w:val="32"/>
          <w:szCs w:val="32"/>
          <w:shd w:val="clear" w:color="auto" w:fill="FFFFFF"/>
        </w:rPr>
        <w:t>。</w:t>
      </w:r>
      <w:r>
        <w:rPr>
          <w:rFonts w:hint="eastAsia" w:ascii="仿宋" w:hAnsi="仿宋" w:eastAsia="仿宋" w:cs="仿宋"/>
          <w:color w:val="000000"/>
          <w:kern w:val="0"/>
          <w:sz w:val="32"/>
          <w:szCs w:val="32"/>
          <w:shd w:val="clear" w:color="auto" w:fill="FFFFFF"/>
        </w:rPr>
        <w:t>1.根据2024年初预算批复文件及中期调整等文件及2024年1</w:t>
      </w:r>
      <w:r>
        <w:rPr>
          <w:rFonts w:hint="eastAsia" w:ascii="仿宋" w:hAnsi="仿宋" w:eastAsia="仿宋" w:cs="仿宋"/>
          <w:color w:val="000000"/>
          <w:kern w:val="0"/>
          <w:sz w:val="32"/>
          <w:szCs w:val="32"/>
          <w:shd w:val="clear" w:color="auto" w:fill="FFFFFF"/>
          <w:lang w:eastAsia="zh-CN"/>
        </w:rPr>
        <w:t>—</w:t>
      </w:r>
      <w:r>
        <w:rPr>
          <w:rFonts w:hint="eastAsia" w:ascii="仿宋" w:hAnsi="仿宋" w:eastAsia="仿宋" w:cs="仿宋"/>
          <w:color w:val="000000"/>
          <w:kern w:val="0"/>
          <w:sz w:val="32"/>
          <w:szCs w:val="32"/>
          <w:shd w:val="clear" w:color="auto" w:fill="FFFFFF"/>
        </w:rPr>
        <w:t>12月预算可执行情况表。本单位2024年偏离度0.15%。具体如下：</w:t>
      </w:r>
    </w:p>
    <w:p>
      <w:pPr>
        <w:pStyle w:val="2"/>
      </w:pPr>
      <w:r>
        <w:pict>
          <v:shape id="_x0000_i1028" o:spt="75" type="#_x0000_t75" style="height:192.3pt;width:441.75pt;" filled="f" o:preferrelative="t" stroked="f" coordsize="21600,21600">
            <v:path/>
            <v:fill on="f" focussize="0,0"/>
            <v:stroke on="f" joinstyle="miter"/>
            <v:imagedata r:id="rId27" cropleft="468f" croptop="1611f" cropright="344f" o:title=""/>
            <o:lock v:ext="edit" aspectratio="t"/>
            <w10:wrap type="none"/>
            <w10:anchorlock/>
          </v:shape>
        </w:pict>
      </w:r>
    </w:p>
    <w:p>
      <w:pPr>
        <w:spacing w:line="360" w:lineRule="auto"/>
        <w:ind w:firstLine="640" w:firstLineChars="200"/>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2.支出执行进度，</w:t>
      </w:r>
      <w:r>
        <w:rPr>
          <w:rFonts w:hint="eastAsia" w:ascii="仿宋" w:hAnsi="仿宋" w:eastAsia="仿宋" w:cs="仿宋"/>
          <w:sz w:val="32"/>
          <w:szCs w:val="32"/>
        </w:rPr>
        <w:t>根据2024年初预算批复文件及追加或调整</w:t>
      </w:r>
      <w:r>
        <w:rPr>
          <w:rFonts w:hint="eastAsia" w:ascii="仿宋" w:hAnsi="仿宋" w:eastAsia="仿宋" w:cs="仿宋"/>
          <w:sz w:val="32"/>
          <w:szCs w:val="32"/>
          <w:lang w:eastAsia="zh-CN"/>
        </w:rPr>
        <w:t>预算</w:t>
      </w:r>
      <w:r>
        <w:rPr>
          <w:rFonts w:hint="eastAsia" w:ascii="仿宋" w:hAnsi="仿宋" w:eastAsia="仿宋" w:cs="仿宋"/>
          <w:sz w:val="32"/>
          <w:szCs w:val="32"/>
        </w:rPr>
        <w:t>文件及2024年1</w:t>
      </w:r>
      <w:r>
        <w:rPr>
          <w:rFonts w:hint="eastAsia" w:ascii="仿宋" w:hAnsi="仿宋" w:eastAsia="仿宋" w:cs="仿宋"/>
          <w:sz w:val="32"/>
          <w:szCs w:val="32"/>
          <w:lang w:eastAsia="zh-CN"/>
        </w:rPr>
        <w:t>—</w:t>
      </w:r>
      <w:r>
        <w:rPr>
          <w:rFonts w:hint="eastAsia" w:ascii="仿宋" w:hAnsi="仿宋" w:eastAsia="仿宋" w:cs="仿宋"/>
          <w:sz w:val="32"/>
          <w:szCs w:val="32"/>
        </w:rPr>
        <w:t>12月预算可执行情况表。本单位2024年支出执行进度具体如下（参考样例）：</w:t>
      </w:r>
    </w:p>
    <w:p>
      <w:pPr>
        <w:pStyle w:val="2"/>
      </w:pPr>
      <w:r>
        <w:pict>
          <v:shape id="_x0000_i1029" o:spt="75" type="#_x0000_t75" style="height:107.15pt;width:448.5pt;" filled="f" o:preferrelative="t" stroked="f" coordsize="21600,21600">
            <v:path/>
            <v:fill on="f" focussize="0,0"/>
            <v:stroke on="f" joinstyle="miter"/>
            <v:imagedata r:id="rId28" o:title=""/>
            <o:lock v:ext="edit" aspectratio="t"/>
            <w10:wrap type="none"/>
            <w10:anchorlock/>
          </v:shape>
        </w:pict>
      </w:r>
    </w:p>
    <w:p>
      <w:pPr>
        <w:keepNext/>
        <w:keepLines/>
        <w:spacing w:line="360" w:lineRule="auto"/>
        <w:ind w:firstLine="640" w:firstLineChars="200"/>
        <w:outlineLvl w:val="2"/>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3.预算年终结余，根据2024年初预算批复文件及期中调整预算等文件、2024年1</w:t>
      </w:r>
      <w:r>
        <w:rPr>
          <w:rFonts w:hint="eastAsia" w:ascii="仿宋" w:hAnsi="仿宋" w:eastAsia="仿宋" w:cs="仿宋"/>
          <w:color w:val="000000"/>
          <w:kern w:val="0"/>
          <w:sz w:val="32"/>
          <w:szCs w:val="32"/>
          <w:shd w:val="clear" w:color="auto" w:fill="FFFFFF"/>
          <w:lang w:eastAsia="zh-CN"/>
        </w:rPr>
        <w:t>—</w:t>
      </w:r>
      <w:r>
        <w:rPr>
          <w:rFonts w:hint="eastAsia" w:ascii="仿宋" w:hAnsi="仿宋" w:eastAsia="仿宋" w:cs="仿宋"/>
          <w:color w:val="000000"/>
          <w:kern w:val="0"/>
          <w:sz w:val="32"/>
          <w:szCs w:val="32"/>
          <w:shd w:val="clear" w:color="auto" w:fill="FFFFFF"/>
        </w:rPr>
        <w:t>12月预算可执行情况表及2024年部门决算表。本单位2024年年终部门预算注销金额458.33万元和结</w:t>
      </w:r>
      <w:r>
        <w:rPr>
          <w:rFonts w:hint="eastAsia" w:ascii="仿宋" w:hAnsi="仿宋" w:eastAsia="仿宋" w:cs="仿宋"/>
          <w:color w:val="000000"/>
          <w:kern w:val="0"/>
          <w:sz w:val="32"/>
          <w:szCs w:val="32"/>
          <w:shd w:val="clear" w:color="auto" w:fill="FFFFFF"/>
          <w:lang w:eastAsia="zh-CN"/>
        </w:rPr>
        <w:t>余</w:t>
      </w:r>
      <w:r>
        <w:rPr>
          <w:rFonts w:hint="eastAsia" w:ascii="仿宋" w:hAnsi="仿宋" w:eastAsia="仿宋" w:cs="仿宋"/>
          <w:color w:val="000000"/>
          <w:kern w:val="0"/>
          <w:sz w:val="32"/>
          <w:szCs w:val="32"/>
          <w:shd w:val="clear" w:color="auto" w:fill="FFFFFF"/>
        </w:rPr>
        <w:t>金额6.89万元，2024年，部门预算465.22万元。部门整体预算结余率1%。</w:t>
      </w:r>
    </w:p>
    <w:p>
      <w:pPr>
        <w:keepNext/>
        <w:keepLines/>
        <w:spacing w:line="360" w:lineRule="auto"/>
        <w:ind w:firstLine="640" w:firstLineChars="200"/>
        <w:outlineLvl w:val="2"/>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4. 严控一般性支出，根据2024年初预算批复文件及期中调整预算等文件、2024年1</w:t>
      </w:r>
      <w:r>
        <w:rPr>
          <w:rFonts w:hint="eastAsia" w:ascii="仿宋" w:hAnsi="仿宋" w:eastAsia="仿宋" w:cs="仿宋"/>
          <w:color w:val="000000"/>
          <w:kern w:val="0"/>
          <w:sz w:val="32"/>
          <w:szCs w:val="32"/>
          <w:shd w:val="clear" w:color="auto" w:fill="FFFFFF"/>
          <w:lang w:eastAsia="zh-CN"/>
        </w:rPr>
        <w:t>—</w:t>
      </w:r>
      <w:r>
        <w:rPr>
          <w:rFonts w:hint="eastAsia" w:ascii="仿宋" w:hAnsi="仿宋" w:eastAsia="仿宋" w:cs="仿宋"/>
          <w:color w:val="000000"/>
          <w:kern w:val="0"/>
          <w:sz w:val="32"/>
          <w:szCs w:val="32"/>
          <w:shd w:val="clear" w:color="auto" w:fill="FFFFFF"/>
        </w:rPr>
        <w:t>12月预算可执行情况表及2024年部门决算表。</w:t>
      </w:r>
    </w:p>
    <w:p>
      <w:pPr>
        <w:pStyle w:val="2"/>
      </w:pPr>
      <w:r>
        <w:pict>
          <v:shape id="_x0000_i1030" o:spt="75" type="#_x0000_t75" style="height:224.9pt;width:448.5pt;" filled="f" o:preferrelative="t" stroked="f" coordsize="21600,21600">
            <v:path/>
            <v:fill on="f" focussize="0,0"/>
            <v:stroke on="f" joinstyle="miter"/>
            <v:imagedata r:id="rId29" o:title=""/>
            <o:lock v:ext="edit" aspectratio="t"/>
            <w10:wrap type="none"/>
            <w10:anchorlock/>
          </v:shape>
        </w:pict>
      </w:r>
    </w:p>
    <w:p>
      <w:pPr>
        <w:pStyle w:val="5"/>
        <w:spacing w:line="360" w:lineRule="auto"/>
        <w:ind w:firstLine="662" w:firstLineChars="200"/>
        <w:rPr>
          <w:rFonts w:ascii="仿宋" w:hAnsi="仿宋" w:eastAsia="仿宋" w:cs="仿宋"/>
        </w:rPr>
      </w:pPr>
      <w:r>
        <w:rPr>
          <w:rFonts w:hint="eastAsia" w:eastAsia="楷体_GB2312" w:cs="楷体_GB2312"/>
          <w:color w:val="000000"/>
          <w:kern w:val="0"/>
          <w:sz w:val="33"/>
          <w:szCs w:val="33"/>
          <w:shd w:val="clear" w:color="auto" w:fill="FFFFFF"/>
        </w:rPr>
        <w:t>3.</w:t>
      </w:r>
      <w:r>
        <w:rPr>
          <w:rFonts w:eastAsia="楷体_GB2312" w:cs="楷体_GB2312"/>
          <w:color w:val="000000"/>
          <w:kern w:val="0"/>
          <w:sz w:val="33"/>
          <w:szCs w:val="33"/>
          <w:shd w:val="clear" w:color="auto" w:fill="FFFFFF"/>
          <w:lang w:val="zh-CN"/>
        </w:rPr>
        <w:t>资产管理</w:t>
      </w:r>
      <w:r>
        <w:rPr>
          <w:rFonts w:hint="eastAsia" w:eastAsia="楷体_GB2312" w:cs="楷体_GB2312"/>
          <w:color w:val="000000"/>
          <w:kern w:val="0"/>
          <w:sz w:val="33"/>
          <w:szCs w:val="33"/>
          <w:shd w:val="clear" w:color="auto" w:fill="FFFFFF"/>
          <w:lang w:val="zh-CN"/>
        </w:rPr>
        <w:t>。</w:t>
      </w:r>
      <w:r>
        <w:rPr>
          <w:rFonts w:hint="eastAsia" w:ascii="仿宋" w:hAnsi="仿宋" w:eastAsia="仿宋" w:cs="仿宋"/>
          <w:b w:val="0"/>
          <w:color w:val="000000"/>
          <w:kern w:val="0"/>
          <w:shd w:val="clear" w:color="auto" w:fill="FFFFFF"/>
          <w:lang w:val="zh-CN"/>
        </w:rPr>
        <w:t>（一）人均资产变化率；</w:t>
      </w:r>
      <w:r>
        <w:rPr>
          <w:rFonts w:hint="eastAsia" w:ascii="仿宋" w:hAnsi="仿宋" w:eastAsia="仿宋" w:cs="仿宋"/>
          <w:b w:val="0"/>
          <w:color w:val="000000"/>
          <w:kern w:val="0"/>
          <w:shd w:val="clear" w:color="auto" w:fill="FFFFFF"/>
        </w:rPr>
        <w:t>根据2024</w:t>
      </w:r>
      <w:r>
        <w:rPr>
          <w:rFonts w:hint="eastAsia" w:ascii="仿宋" w:hAnsi="仿宋" w:eastAsia="仿宋" w:cs="仿宋"/>
          <w:b w:val="0"/>
        </w:rPr>
        <w:t>年部门决算报表、部门预算报表及部门行政事业性国有资产报表资料，本单位人均资产变化率-7.17%（其中2024年行政事业单位人均占有资产21.47万元/人员、2023年行政事业单位人均占有资产23.13万元/人员）。具体详见下表（仅供参考）：</w:t>
      </w:r>
    </w:p>
    <w:p>
      <w:pPr>
        <w:rPr>
          <w:rFonts w:ascii="仿宋_GB2312" w:hAnsi="仿宋" w:eastAsia="仿宋_GB2312" w:cs="仿宋"/>
          <w:color w:val="000000"/>
          <w:kern w:val="0"/>
          <w:sz w:val="32"/>
          <w:szCs w:val="32"/>
          <w:shd w:val="clear" w:color="auto" w:fill="FFFFFF"/>
        </w:rPr>
      </w:pPr>
      <w:r>
        <w:pict>
          <v:shape id="_x0000_i1031" o:spt="75" type="#_x0000_t75" style="height:64.8pt;width:448.95pt;" filled="f" o:preferrelative="t" stroked="f" coordsize="21600,21600">
            <v:path/>
            <v:fill on="f" focussize="0,0"/>
            <v:stroke on="f" joinstyle="miter"/>
            <v:imagedata r:id="rId30" o:title=""/>
            <o:lock v:ext="edit" aspectratio="t"/>
            <w10:wrap type="none"/>
            <w10:anchorlock/>
          </v:shape>
        </w:pict>
      </w:r>
    </w:p>
    <w:p>
      <w:pPr>
        <w:numPr>
          <w:ilvl w:val="0"/>
          <w:numId w:val="6"/>
        </w:numPr>
        <w:ind w:firstLine="640" w:firstLineChars="200"/>
        <w:rPr>
          <w:rFonts w:ascii="仿宋" w:hAnsi="仿宋" w:eastAsia="仿宋" w:cs="仿宋"/>
          <w:bCs/>
          <w:sz w:val="32"/>
          <w:szCs w:val="32"/>
        </w:rPr>
      </w:pPr>
      <w:r>
        <w:rPr>
          <w:rFonts w:hint="eastAsia" w:ascii="仿宋" w:hAnsi="仿宋" w:eastAsia="仿宋" w:cs="仿宋"/>
          <w:color w:val="000000"/>
          <w:kern w:val="0"/>
          <w:sz w:val="32"/>
          <w:szCs w:val="32"/>
          <w:shd w:val="clear" w:color="auto" w:fill="FFFFFF"/>
        </w:rPr>
        <w:t>资产利用率；我中心于2022年搬迁至河东新区中心医院7楼，单位暂未涉及闲置资产。</w:t>
      </w:r>
      <w:r>
        <w:rPr>
          <w:rFonts w:hint="eastAsia" w:ascii="仿宋" w:hAnsi="仿宋" w:eastAsia="仿宋" w:cs="仿宋"/>
          <w:sz w:val="32"/>
          <w:szCs w:val="32"/>
        </w:rPr>
        <w:t>资产盘活率；</w:t>
      </w:r>
      <w:r>
        <w:rPr>
          <w:rFonts w:hint="eastAsia" w:ascii="仿宋" w:hAnsi="仿宋" w:eastAsia="仿宋" w:cs="仿宋"/>
          <w:color w:val="000000"/>
          <w:kern w:val="0"/>
          <w:sz w:val="32"/>
          <w:szCs w:val="32"/>
          <w:shd w:val="clear" w:color="auto" w:fill="FFFFFF"/>
        </w:rPr>
        <w:t>我中心于2022年搬迁至河东新区中心医院7楼，单位暂未涉及闲置资产。</w:t>
      </w:r>
    </w:p>
    <w:p>
      <w:pPr>
        <w:pStyle w:val="2"/>
      </w:pPr>
      <w:r>
        <w:pict>
          <v:shape id="_x0000_i1032" o:spt="75" type="#_x0000_t75" style="height:280.4pt;width:466.75pt;" filled="f" o:preferrelative="t" stroked="f" coordsize="21600,21600">
            <v:path/>
            <v:fill on="f" focussize="0,0"/>
            <v:stroke on="f" joinstyle="miter"/>
            <v:imagedata r:id="rId31" o:title=""/>
            <o:lock v:ext="edit" aspectratio="t"/>
            <w10:wrap type="none"/>
            <w10:anchorlock/>
          </v:shape>
        </w:pict>
      </w:r>
    </w:p>
    <w:p>
      <w:pPr>
        <w:rPr>
          <w:rFonts w:ascii="仿宋" w:hAnsi="仿宋" w:eastAsia="仿宋" w:cs="仿宋"/>
          <w:color w:val="000000"/>
          <w:kern w:val="0"/>
          <w:sz w:val="32"/>
          <w:szCs w:val="32"/>
          <w:shd w:val="clear" w:color="auto" w:fill="FFFFFF"/>
          <w:lang w:val="zh-CN"/>
        </w:rPr>
      </w:pPr>
      <w:r>
        <w:rPr>
          <w:rFonts w:hint="eastAsia" w:eastAsia="楷体_GB2312" w:cs="楷体_GB2312"/>
          <w:b/>
          <w:bCs/>
          <w:color w:val="000000"/>
          <w:kern w:val="0"/>
          <w:sz w:val="33"/>
          <w:szCs w:val="33"/>
          <w:shd w:val="clear" w:color="auto" w:fill="FFFFFF"/>
        </w:rPr>
        <w:t xml:space="preserve">   4.</w:t>
      </w:r>
      <w:r>
        <w:rPr>
          <w:rFonts w:eastAsia="楷体_GB2312" w:cs="楷体_GB2312"/>
          <w:b/>
          <w:bCs/>
          <w:color w:val="000000"/>
          <w:kern w:val="0"/>
          <w:sz w:val="33"/>
          <w:szCs w:val="33"/>
          <w:shd w:val="clear" w:color="auto" w:fill="FFFFFF"/>
          <w:lang w:val="zh-CN"/>
        </w:rPr>
        <w:t>采购管理</w:t>
      </w:r>
      <w:r>
        <w:rPr>
          <w:rFonts w:hint="eastAsia" w:eastAsia="楷体_GB2312" w:cs="楷体_GB2312"/>
          <w:b/>
          <w:bCs/>
          <w:color w:val="000000"/>
          <w:kern w:val="0"/>
          <w:sz w:val="33"/>
          <w:szCs w:val="33"/>
          <w:shd w:val="clear" w:color="auto" w:fill="FFFFFF"/>
          <w:lang w:val="zh-CN"/>
        </w:rPr>
        <w:t>。</w:t>
      </w:r>
      <w:r>
        <w:rPr>
          <w:rFonts w:hint="eastAsia" w:ascii="仿宋" w:hAnsi="仿宋" w:eastAsia="仿宋" w:cs="仿宋"/>
          <w:color w:val="000000"/>
          <w:kern w:val="0"/>
          <w:sz w:val="32"/>
          <w:szCs w:val="32"/>
          <w:shd w:val="clear" w:color="auto" w:fill="FFFFFF"/>
          <w:lang w:val="zh-CN"/>
        </w:rPr>
        <w:t>支持中小企业发展；本单位为全额拨款预算单位，根据实际工作需求，无法执行工业和信息化部《关于印发〈政府采购促进中小企业发展管理办法〉的通知》（财库〔2020〕46号）有关要求，我中心2024年预留项目面向中小企业采购共计</w:t>
      </w:r>
      <w:r>
        <w:rPr>
          <w:rFonts w:hint="eastAsia" w:ascii="仿宋" w:hAnsi="仿宋" w:eastAsia="仿宋" w:cs="仿宋"/>
          <w:color w:val="000000"/>
          <w:kern w:val="0"/>
          <w:sz w:val="32"/>
          <w:szCs w:val="32"/>
          <w:shd w:val="clear" w:color="auto" w:fill="FFFFFF"/>
        </w:rPr>
        <w:t>0</w:t>
      </w:r>
      <w:r>
        <w:rPr>
          <w:rFonts w:hint="eastAsia" w:ascii="仿宋" w:hAnsi="仿宋" w:eastAsia="仿宋" w:cs="仿宋"/>
          <w:color w:val="000000"/>
          <w:kern w:val="0"/>
          <w:sz w:val="32"/>
          <w:szCs w:val="32"/>
          <w:shd w:val="clear" w:color="auto" w:fill="FFFFFF"/>
          <w:lang w:val="zh-CN"/>
        </w:rPr>
        <w:t>万元。采购执行率</w:t>
      </w:r>
      <w:r>
        <w:rPr>
          <w:rFonts w:hint="eastAsia" w:ascii="仿宋" w:hAnsi="仿宋" w:eastAsia="仿宋" w:cs="仿宋"/>
          <w:color w:val="000000"/>
          <w:kern w:val="0"/>
          <w:sz w:val="32"/>
          <w:szCs w:val="32"/>
          <w:shd w:val="clear" w:color="auto" w:fill="FFFFFF"/>
          <w:lang w:val="en-US" w:eastAsia="zh-CN"/>
        </w:rPr>
        <w:t>0%</w:t>
      </w:r>
      <w:r>
        <w:rPr>
          <w:rFonts w:hint="eastAsia" w:ascii="仿宋" w:hAnsi="仿宋" w:eastAsia="仿宋" w:cs="仿宋"/>
          <w:color w:val="000000"/>
          <w:kern w:val="0"/>
          <w:sz w:val="32"/>
          <w:szCs w:val="32"/>
          <w:shd w:val="clear" w:color="auto" w:fill="FFFFFF"/>
          <w:lang w:val="zh-CN"/>
        </w:rPr>
        <w:t>；根据单位涉及政府采购项目及2024年有关项目合同及支付等资料。本部门2024年采购执行率</w:t>
      </w:r>
      <w:r>
        <w:rPr>
          <w:rFonts w:hint="eastAsia" w:ascii="仿宋" w:hAnsi="仿宋" w:eastAsia="仿宋" w:cs="仿宋"/>
          <w:color w:val="000000"/>
          <w:kern w:val="0"/>
          <w:sz w:val="32"/>
          <w:szCs w:val="32"/>
          <w:shd w:val="clear" w:color="auto" w:fill="FFFFFF"/>
        </w:rPr>
        <w:t>99.71</w:t>
      </w:r>
      <w:r>
        <w:rPr>
          <w:rFonts w:hint="eastAsia" w:ascii="仿宋" w:hAnsi="仿宋" w:eastAsia="仿宋" w:cs="仿宋"/>
          <w:color w:val="000000"/>
          <w:kern w:val="0"/>
          <w:sz w:val="32"/>
          <w:szCs w:val="32"/>
          <w:shd w:val="clear" w:color="auto" w:fill="FFFFFF"/>
          <w:lang w:val="zh-CN"/>
        </w:rPr>
        <w:t>%。</w:t>
      </w:r>
    </w:p>
    <w:p>
      <w:pPr>
        <w:pStyle w:val="2"/>
        <w:rPr>
          <w:rFonts w:ascii="Times New Roman" w:hAnsi="Times New Roman" w:eastAsia="楷体_GB2312" w:cs="楷体_GB2312"/>
          <w:b/>
          <w:bCs/>
          <w:color w:val="000000"/>
          <w:kern w:val="0"/>
          <w:sz w:val="33"/>
          <w:szCs w:val="33"/>
          <w:shd w:val="clear" w:color="auto" w:fill="FFFFFF"/>
          <w:lang w:val="zh-CN"/>
        </w:rPr>
      </w:pPr>
      <w:r>
        <w:rPr>
          <w:rFonts w:hint="eastAsia"/>
        </w:rPr>
        <w:t xml:space="preserve">  </w:t>
      </w:r>
      <w:r>
        <w:rPr>
          <w:rFonts w:hint="eastAsia"/>
          <w:b/>
          <w:bCs/>
        </w:rPr>
        <w:t>5.</w:t>
      </w:r>
      <w:r>
        <w:rPr>
          <w:rFonts w:ascii="Times New Roman" w:hAnsi="Times New Roman" w:eastAsia="楷体_GB2312" w:cs="楷体_GB2312"/>
          <w:b/>
          <w:bCs/>
          <w:color w:val="000000"/>
          <w:kern w:val="0"/>
          <w:sz w:val="33"/>
          <w:szCs w:val="33"/>
          <w:shd w:val="clear" w:color="auto" w:fill="FFFFFF"/>
          <w:lang w:val="zh-CN"/>
        </w:rPr>
        <w:t>财务管理</w:t>
      </w:r>
      <w:r>
        <w:rPr>
          <w:rFonts w:hint="eastAsia" w:ascii="Times New Roman" w:hAnsi="Times New Roman" w:eastAsia="楷体_GB2312" w:cs="楷体_GB2312"/>
          <w:b/>
          <w:bCs/>
          <w:color w:val="000000"/>
          <w:kern w:val="0"/>
          <w:sz w:val="33"/>
          <w:szCs w:val="33"/>
          <w:shd w:val="clear" w:color="auto" w:fill="FFFFFF"/>
          <w:lang w:val="zh-CN"/>
        </w:rPr>
        <w:t>。</w:t>
      </w:r>
    </w:p>
    <w:p>
      <w:pPr>
        <w:pStyle w:val="2"/>
        <w:ind w:firstLine="640" w:firstLineChars="200"/>
        <w:rPr>
          <w:rFonts w:ascii="仿宋" w:hAnsi="仿宋" w:eastAsia="仿宋" w:cs="仿宋"/>
          <w:szCs w:val="32"/>
        </w:rPr>
      </w:pPr>
      <w:r>
        <w:rPr>
          <w:rFonts w:hint="eastAsia" w:ascii="仿宋" w:hAnsi="仿宋" w:eastAsia="仿宋" w:cs="仿宋"/>
          <w:szCs w:val="32"/>
        </w:rPr>
        <w:t>财务管理制度建设情况：本单位制定了《遂宁市紧急医疗救援中心内控手册》管理制度，财务机构按照《行政事业单位资金管理办法》严格执行有关制度。不涉及扣分。</w:t>
      </w:r>
    </w:p>
    <w:p>
      <w:pPr>
        <w:pStyle w:val="2"/>
        <w:rPr>
          <w:rFonts w:ascii="仿宋" w:hAnsi="仿宋" w:eastAsia="仿宋" w:cs="仿宋"/>
          <w:szCs w:val="32"/>
        </w:rPr>
      </w:pPr>
      <w:r>
        <w:rPr>
          <w:rFonts w:hint="eastAsia" w:ascii="仿宋" w:hAnsi="仿宋" w:eastAsia="仿宋" w:cs="仿宋"/>
          <w:szCs w:val="32"/>
        </w:rPr>
        <w:t>财务岗位设置情况：本单位设置出纳、会计、财务负责人等财务工作岗位。出纳岗位的职责权限为资金管理、日常收支核算、票据管理及合规监督等；会计岗位的职责权限为编制并严格执行</w:t>
      </w:r>
      <w:r>
        <w:fldChar w:fldCharType="begin"/>
      </w:r>
      <w:r>
        <w:instrText xml:space="preserve"> HYPERLINK "https://baike.baidu.com/item/%E9%83%A8%E9%97%A8%E9%A2%84%E7%AE%97/2486662?fromModule=lemma_inlink" \t "/home/user/Documents\x/_blank" </w:instrText>
      </w:r>
      <w:r>
        <w:fldChar w:fldCharType="separate"/>
      </w:r>
      <w:r>
        <w:rPr>
          <w:rFonts w:hint="eastAsia" w:ascii="仿宋" w:hAnsi="仿宋" w:eastAsia="仿宋" w:cs="仿宋"/>
          <w:szCs w:val="32"/>
        </w:rPr>
        <w:t>部门预算</w:t>
      </w:r>
      <w:r>
        <w:rPr>
          <w:rFonts w:hint="eastAsia" w:ascii="仿宋" w:hAnsi="仿宋" w:eastAsia="仿宋" w:cs="仿宋"/>
          <w:szCs w:val="32"/>
        </w:rPr>
        <w:fldChar w:fldCharType="end"/>
      </w:r>
      <w:r>
        <w:rPr>
          <w:rFonts w:hint="eastAsia" w:ascii="仿宋" w:hAnsi="仿宋" w:eastAsia="仿宋" w:cs="仿宋"/>
          <w:szCs w:val="32"/>
        </w:rPr>
        <w:t>、日常账务处理、妥善保管</w:t>
      </w:r>
      <w:r>
        <w:fldChar w:fldCharType="begin"/>
      </w:r>
      <w:r>
        <w:instrText xml:space="preserve"> HYPERLINK "https://baike.baidu.com/item/%E4%BC%9A%E8%AE%A1%E5%87%AD%E8%AF%81/4796704?fromModule=lemma_inlink" \t "/home/user/Documents\x/_blank" </w:instrText>
      </w:r>
      <w:r>
        <w:fldChar w:fldCharType="separate"/>
      </w:r>
      <w:r>
        <w:rPr>
          <w:rFonts w:hint="eastAsia" w:ascii="仿宋" w:hAnsi="仿宋" w:eastAsia="仿宋" w:cs="仿宋"/>
          <w:szCs w:val="32"/>
        </w:rPr>
        <w:t>会计凭证</w:t>
      </w:r>
      <w:r>
        <w:rPr>
          <w:rFonts w:hint="eastAsia" w:ascii="仿宋" w:hAnsi="仿宋" w:eastAsia="仿宋" w:cs="仿宋"/>
          <w:szCs w:val="32"/>
        </w:rPr>
        <w:fldChar w:fldCharType="end"/>
      </w:r>
      <w:r>
        <w:rPr>
          <w:rFonts w:hint="eastAsia" w:ascii="仿宋" w:hAnsi="仿宋" w:eastAsia="仿宋" w:cs="仿宋"/>
          <w:szCs w:val="32"/>
        </w:rPr>
        <w:t>、</w:t>
      </w:r>
      <w:r>
        <w:fldChar w:fldCharType="begin"/>
      </w:r>
      <w:r>
        <w:instrText xml:space="preserve"> HYPERLINK "https://baike.baidu.com/item/%E4%BC%9A%E8%AE%A1%E8%B4%A6%E7%B0%BF/10664357?fromModule=lemma_inlink" \t "/home/user/Documents\x/_blank" </w:instrText>
      </w:r>
      <w:r>
        <w:fldChar w:fldCharType="separate"/>
      </w:r>
      <w:r>
        <w:rPr>
          <w:rFonts w:hint="eastAsia" w:ascii="仿宋" w:hAnsi="仿宋" w:eastAsia="仿宋" w:cs="仿宋"/>
          <w:szCs w:val="32"/>
        </w:rPr>
        <w:t>会计账簿</w:t>
      </w:r>
      <w:r>
        <w:rPr>
          <w:rFonts w:hint="eastAsia" w:ascii="仿宋" w:hAnsi="仿宋" w:eastAsia="仿宋" w:cs="仿宋"/>
          <w:szCs w:val="32"/>
        </w:rPr>
        <w:fldChar w:fldCharType="end"/>
      </w:r>
      <w:r>
        <w:rPr>
          <w:rFonts w:hint="eastAsia" w:ascii="仿宋" w:hAnsi="仿宋" w:eastAsia="仿宋" w:cs="仿宋"/>
          <w:szCs w:val="32"/>
        </w:rPr>
        <w:t>、财务会计报表和其他会计资料等；财务负责人岗位的职责权限为编制严格执行</w:t>
      </w:r>
      <w:r>
        <w:fldChar w:fldCharType="begin"/>
      </w:r>
      <w:r>
        <w:instrText xml:space="preserve"> HYPERLINK "https://baike.baidu.com/item/%E9%83%A8%E9%97%A8%E9%A2%84%E7%AE%97/2486662?fromModule=lemma_inlink" \t "/home/user/Documents\x/_blank" </w:instrText>
      </w:r>
      <w:r>
        <w:fldChar w:fldCharType="separate"/>
      </w:r>
      <w:r>
        <w:rPr>
          <w:rFonts w:hint="eastAsia" w:ascii="仿宋" w:hAnsi="仿宋" w:eastAsia="仿宋" w:cs="仿宋"/>
          <w:szCs w:val="32"/>
        </w:rPr>
        <w:t>部门预算</w:t>
      </w:r>
      <w:r>
        <w:rPr>
          <w:rFonts w:hint="eastAsia" w:ascii="仿宋" w:hAnsi="仿宋" w:eastAsia="仿宋" w:cs="仿宋"/>
          <w:szCs w:val="32"/>
        </w:rPr>
        <w:fldChar w:fldCharType="end"/>
      </w:r>
      <w:r>
        <w:rPr>
          <w:rFonts w:hint="eastAsia" w:ascii="仿宋" w:hAnsi="仿宋" w:eastAsia="仿宋" w:cs="仿宋"/>
          <w:szCs w:val="32"/>
        </w:rPr>
        <w:t>和政府专项</w:t>
      </w:r>
      <w:r>
        <w:fldChar w:fldCharType="begin"/>
      </w:r>
      <w:r>
        <w:instrText xml:space="preserve"> HYPERLINK "https://baike.baidu.com/item/%E8%B5%84%E9%87%91%E9%A2%84%E7%AE%97/538743?fromModule=lemma_inlink" \t "/home/user/Documents\x/_blank" </w:instrText>
      </w:r>
      <w:r>
        <w:fldChar w:fldCharType="separate"/>
      </w:r>
      <w:r>
        <w:rPr>
          <w:rFonts w:hint="eastAsia" w:ascii="仿宋" w:hAnsi="仿宋" w:eastAsia="仿宋" w:cs="仿宋"/>
          <w:szCs w:val="32"/>
        </w:rPr>
        <w:t>资金预算</w:t>
      </w:r>
      <w:r>
        <w:rPr>
          <w:rFonts w:hint="eastAsia" w:ascii="仿宋" w:hAnsi="仿宋" w:eastAsia="仿宋" w:cs="仿宋"/>
          <w:szCs w:val="32"/>
        </w:rPr>
        <w:fldChar w:fldCharType="end"/>
      </w:r>
      <w:r>
        <w:rPr>
          <w:rFonts w:hint="eastAsia" w:ascii="仿宋" w:hAnsi="仿宋" w:eastAsia="仿宋" w:cs="仿宋"/>
          <w:szCs w:val="32"/>
        </w:rPr>
        <w:t>、加强</w:t>
      </w:r>
      <w:r>
        <w:fldChar w:fldCharType="begin"/>
      </w:r>
      <w:r>
        <w:instrText xml:space="preserve"> HYPERLINK "https://baike.baidu.com/item/%E5%86%85%E9%83%A8%E4%BC%9A%E8%AE%A1%E6%8E%A7%E5%88%B6/4217333?fromModule=lemma_inlink" \t "/home/user/Documents\x/_blank" </w:instrText>
      </w:r>
      <w:r>
        <w:fldChar w:fldCharType="separate"/>
      </w:r>
      <w:r>
        <w:rPr>
          <w:rFonts w:hint="eastAsia" w:ascii="仿宋" w:hAnsi="仿宋" w:eastAsia="仿宋" w:cs="仿宋"/>
          <w:szCs w:val="32"/>
        </w:rPr>
        <w:t>内部会计控制</w:t>
      </w:r>
      <w:r>
        <w:rPr>
          <w:rFonts w:hint="eastAsia" w:ascii="仿宋" w:hAnsi="仿宋" w:eastAsia="仿宋" w:cs="仿宋"/>
          <w:szCs w:val="32"/>
        </w:rPr>
        <w:fldChar w:fldCharType="end"/>
      </w:r>
      <w:r>
        <w:rPr>
          <w:rFonts w:hint="eastAsia" w:ascii="仿宋" w:hAnsi="仿宋" w:eastAsia="仿宋" w:cs="仿宋"/>
          <w:szCs w:val="32"/>
        </w:rPr>
        <w:t>，建立会计</w:t>
      </w:r>
      <w:r>
        <w:fldChar w:fldCharType="begin"/>
      </w:r>
      <w:r>
        <w:instrText xml:space="preserve"> HYPERLINK "https://baike.baidu.com/item/%E5%B2%97%E4%BD%8D%E8%B4%A3%E4%BB%BB%E5%88%B6/1608485?fromModule=lemma_inlink" \t "/home/user/Documents\x/_blank" </w:instrText>
      </w:r>
      <w:r>
        <w:fldChar w:fldCharType="separate"/>
      </w:r>
      <w:r>
        <w:rPr>
          <w:rFonts w:hint="eastAsia" w:ascii="仿宋" w:hAnsi="仿宋" w:eastAsia="仿宋" w:cs="仿宋"/>
          <w:szCs w:val="32"/>
        </w:rPr>
        <w:t>岗位责任制</w:t>
      </w:r>
      <w:r>
        <w:rPr>
          <w:rFonts w:hint="eastAsia" w:ascii="仿宋" w:hAnsi="仿宋" w:eastAsia="仿宋" w:cs="仿宋"/>
          <w:szCs w:val="32"/>
        </w:rPr>
        <w:fldChar w:fldCharType="end"/>
      </w:r>
      <w:r>
        <w:rPr>
          <w:rFonts w:hint="eastAsia" w:ascii="仿宋" w:hAnsi="仿宋" w:eastAsia="仿宋" w:cs="仿宋"/>
          <w:szCs w:val="32"/>
        </w:rPr>
        <w:t>、规范各项</w:t>
      </w:r>
      <w:r>
        <w:fldChar w:fldCharType="begin"/>
      </w:r>
      <w:r>
        <w:instrText xml:space="preserve"> HYPERLINK "https://baike.baidu.com/item/%E4%BC%9A%E8%AE%A1%E5%9F%BA%E7%A1%80%E5%B7%A5%E4%BD%9C/3706629?fromModule=lemma_inlink" \t "/home/user/Documents\x/_blank" </w:instrText>
      </w:r>
      <w:r>
        <w:fldChar w:fldCharType="separate"/>
      </w:r>
      <w:r>
        <w:rPr>
          <w:rFonts w:hint="eastAsia" w:ascii="仿宋" w:hAnsi="仿宋" w:eastAsia="仿宋" w:cs="仿宋"/>
          <w:szCs w:val="32"/>
        </w:rPr>
        <w:t>会计基础工作</w:t>
      </w:r>
      <w:r>
        <w:rPr>
          <w:rFonts w:hint="eastAsia" w:ascii="仿宋" w:hAnsi="仿宋" w:eastAsia="仿宋" w:cs="仿宋"/>
          <w:szCs w:val="32"/>
        </w:rPr>
        <w:fldChar w:fldCharType="end"/>
      </w:r>
      <w:r>
        <w:rPr>
          <w:rFonts w:hint="eastAsia" w:ascii="仿宋" w:hAnsi="仿宋" w:eastAsia="仿宋" w:cs="仿宋"/>
          <w:szCs w:val="32"/>
        </w:rPr>
        <w:t>，及时审查本单位的</w:t>
      </w:r>
      <w:r>
        <w:fldChar w:fldCharType="begin"/>
      </w:r>
      <w:r>
        <w:instrText xml:space="preserve"> HYPERLINK "https://baike.baidu.com/item/%E4%BC%9A%E8%AE%A1%E5%87%AD%E8%AF%81/4796704?fromModule=lemma_inlink" \t "/home/user/Documents\x/_blank" </w:instrText>
      </w:r>
      <w:r>
        <w:fldChar w:fldCharType="separate"/>
      </w:r>
      <w:r>
        <w:rPr>
          <w:rFonts w:hint="eastAsia" w:ascii="仿宋" w:hAnsi="仿宋" w:eastAsia="仿宋" w:cs="仿宋"/>
          <w:szCs w:val="32"/>
        </w:rPr>
        <w:t>会计凭证</w:t>
      </w:r>
      <w:r>
        <w:rPr>
          <w:rFonts w:hint="eastAsia" w:ascii="仿宋" w:hAnsi="仿宋" w:eastAsia="仿宋" w:cs="仿宋"/>
          <w:szCs w:val="32"/>
        </w:rPr>
        <w:fldChar w:fldCharType="end"/>
      </w:r>
      <w:r>
        <w:rPr>
          <w:rFonts w:hint="eastAsia" w:ascii="仿宋" w:hAnsi="仿宋" w:eastAsia="仿宋" w:cs="仿宋"/>
          <w:szCs w:val="32"/>
        </w:rPr>
        <w:t>、</w:t>
      </w:r>
      <w:r>
        <w:fldChar w:fldCharType="begin"/>
      </w:r>
      <w:r>
        <w:instrText xml:space="preserve"> HYPERLINK "https://baike.baidu.com/item/%E4%BC%9A%E8%AE%A1%E8%B4%A6%E7%B0%BF/10664357?fromModule=lemma_inlink" \t "/home/user/Documents\x/_blank" </w:instrText>
      </w:r>
      <w:r>
        <w:fldChar w:fldCharType="separate"/>
      </w:r>
      <w:r>
        <w:rPr>
          <w:rFonts w:hint="eastAsia" w:ascii="仿宋" w:hAnsi="仿宋" w:eastAsia="仿宋" w:cs="仿宋"/>
          <w:szCs w:val="32"/>
        </w:rPr>
        <w:t>会计账簿</w:t>
      </w:r>
      <w:r>
        <w:rPr>
          <w:rFonts w:hint="eastAsia" w:ascii="仿宋" w:hAnsi="仿宋" w:eastAsia="仿宋" w:cs="仿宋"/>
          <w:szCs w:val="32"/>
        </w:rPr>
        <w:fldChar w:fldCharType="end"/>
      </w:r>
      <w:r>
        <w:rPr>
          <w:rFonts w:hint="eastAsia" w:ascii="仿宋" w:hAnsi="仿宋" w:eastAsia="仿宋" w:cs="仿宋"/>
          <w:szCs w:val="32"/>
        </w:rPr>
        <w:t>、财务会计报表等。本部门严格实行不相容岗位分离。不涉及扣分。</w:t>
      </w:r>
    </w:p>
    <w:p>
      <w:pPr>
        <w:pStyle w:val="2"/>
        <w:rPr>
          <w:rFonts w:hint="eastAsia" w:ascii="仿宋" w:hAnsi="仿宋" w:eastAsia="仿宋" w:cs="仿宋"/>
          <w:szCs w:val="32"/>
          <w:lang w:eastAsia="zh-CN"/>
        </w:rPr>
      </w:pPr>
      <w:r>
        <w:rPr>
          <w:rFonts w:hint="eastAsia" w:ascii="仿宋" w:hAnsi="仿宋" w:eastAsia="仿宋" w:cs="仿宋"/>
          <w:szCs w:val="32"/>
        </w:rPr>
        <w:t>资金使用规范情况。财务部门在本部门绩效自评价期间抽查了120指挥调度运行经费、中医药传承创新等项目支付有关资料。部门资金使用符合相关财务管理制度规定的（专项资金管理办法）</w:t>
      </w:r>
      <w:r>
        <w:rPr>
          <w:rFonts w:hint="eastAsia" w:ascii="仿宋" w:hAnsi="仿宋" w:eastAsia="仿宋" w:cs="仿宋"/>
          <w:szCs w:val="32"/>
          <w:lang w:eastAsia="zh-CN"/>
        </w:rPr>
        <w:t>。</w:t>
      </w:r>
    </w:p>
    <w:p>
      <w:pPr>
        <w:pStyle w:val="2"/>
        <w:numPr>
          <w:ilvl w:val="0"/>
          <w:numId w:val="7"/>
        </w:numPr>
        <w:ind w:firstLine="640" w:firstLineChars="200"/>
        <w:rPr>
          <w:rFonts w:hint="eastAsia" w:ascii="仿宋" w:hAnsi="仿宋" w:eastAsia="仿宋" w:cs="仿宋"/>
          <w:b w:val="0"/>
          <w:bCs w:val="0"/>
          <w:color w:val="000000"/>
          <w:kern w:val="0"/>
          <w:shd w:val="clear" w:color="auto" w:fill="FFFFFF"/>
        </w:rPr>
      </w:pPr>
      <w:r>
        <w:rPr>
          <w:rFonts w:hint="eastAsia" w:ascii="仿宋" w:hAnsi="仿宋" w:eastAsia="仿宋" w:cs="仿宋"/>
          <w:color w:val="000000"/>
          <w:kern w:val="0"/>
          <w:shd w:val="clear" w:color="auto" w:fill="FFFFFF"/>
          <w:lang w:eastAsia="zh-CN"/>
        </w:rPr>
        <w:t>项目决策</w:t>
      </w:r>
      <w:r>
        <w:rPr>
          <w:rFonts w:hint="eastAsia" w:ascii="仿宋" w:hAnsi="仿宋" w:eastAsia="仿宋" w:cs="仿宋"/>
          <w:color w:val="000000"/>
          <w:kern w:val="0"/>
          <w:shd w:val="clear" w:color="auto" w:fill="FFFFFF"/>
        </w:rPr>
        <w:t>。</w:t>
      </w:r>
      <w:r>
        <w:rPr>
          <w:rFonts w:hint="eastAsia" w:ascii="仿宋" w:hAnsi="仿宋" w:eastAsia="仿宋" w:cs="仿宋"/>
          <w:b w:val="0"/>
          <w:bCs w:val="0"/>
          <w:color w:val="000000"/>
          <w:kern w:val="0"/>
          <w:shd w:val="clear" w:color="auto" w:fill="FFFFFF"/>
        </w:rPr>
        <w:t>（1）决策程序；根据《2024年度市级预算绩效目标管理和事前绩效评估工作的通知》，对“年度预算100万元以上的新增项目，年度预算增幅达到30%或增加金额100万元以上的延续性专项资金项目”开展事前绩效评估。2024年本单位应开展部门预算阶段项目（含一次性项目）总数2个、实际开展部门预算阶段项目（含一次性项目）2个，开展比例100%。</w:t>
      </w:r>
    </w:p>
    <w:p>
      <w:pPr>
        <w:pStyle w:val="2"/>
        <w:numPr>
          <w:ilvl w:val="0"/>
          <w:numId w:val="8"/>
        </w:numPr>
        <w:ind w:firstLine="640" w:firstLineChars="200"/>
        <w:rPr>
          <w:rFonts w:ascii="仿宋" w:hAnsi="仿宋" w:eastAsia="仿宋" w:cs="仿宋"/>
          <w:b w:val="0"/>
          <w:bCs w:val="0"/>
        </w:rPr>
      </w:pPr>
      <w:r>
        <w:rPr>
          <w:rFonts w:hint="eastAsia" w:ascii="仿宋" w:hAnsi="仿宋" w:eastAsia="仿宋" w:cs="仿宋"/>
          <w:b w:val="0"/>
          <w:bCs w:val="0"/>
          <w:color w:val="000000"/>
          <w:kern w:val="0"/>
          <w:shd w:val="clear" w:color="auto" w:fill="FFFFFF"/>
        </w:rPr>
        <w:t>目标设置；</w:t>
      </w:r>
      <w:r>
        <w:rPr>
          <w:rFonts w:hint="eastAsia" w:ascii="仿宋" w:hAnsi="仿宋" w:eastAsia="仿宋" w:cs="仿宋"/>
          <w:b w:val="0"/>
          <w:bCs w:val="0"/>
        </w:rPr>
        <w:t>根据《2024年度市级预算绩效目标管理和事前绩效评估工作的通知》以及本部门项目绩效目标及预算审核结果。2024年本单位财务机构抽查预算阶段项目（含一次性项目）2个项目，涉及绩效目标与计划期内的任务量、预算安排不相匹配的部门预算阶段项目（含一次性项目）数量0个。</w:t>
      </w:r>
    </w:p>
    <w:p>
      <w:pPr>
        <w:pStyle w:val="2"/>
        <w:numPr>
          <w:ilvl w:val="0"/>
          <w:numId w:val="8"/>
        </w:numPr>
        <w:ind w:left="0" w:leftChars="0" w:firstLine="640" w:firstLineChars="200"/>
        <w:rPr>
          <w:rFonts w:hint="eastAsia" w:ascii="仿宋" w:hAnsi="仿宋" w:eastAsia="仿宋" w:cs="仿宋"/>
          <w:b w:val="0"/>
          <w:bCs w:val="0"/>
        </w:rPr>
      </w:pPr>
      <w:r>
        <w:rPr>
          <w:rFonts w:hint="eastAsia" w:ascii="仿宋" w:hAnsi="仿宋" w:eastAsia="仿宋" w:cs="仿宋"/>
          <w:b w:val="0"/>
          <w:bCs w:val="0"/>
          <w:color w:val="000000"/>
          <w:kern w:val="0"/>
          <w:shd w:val="clear" w:color="auto" w:fill="FFFFFF"/>
        </w:rPr>
        <w:t>项目入库；</w:t>
      </w:r>
      <w:r>
        <w:rPr>
          <w:rFonts w:hint="eastAsia" w:ascii="仿宋" w:hAnsi="仿宋" w:eastAsia="仿宋" w:cs="仿宋"/>
          <w:b w:val="0"/>
          <w:bCs w:val="0"/>
        </w:rPr>
        <w:t>根据《2024年度市级预算绩效目标管理和事前绩效评估工作的通知》，2024年部门预算项目要求入库时间为</w:t>
      </w:r>
      <w:r>
        <w:rPr>
          <w:rFonts w:hint="eastAsia" w:ascii="仿宋" w:hAnsi="仿宋" w:eastAsia="仿宋" w:cs="仿宋"/>
          <w:b w:val="0"/>
          <w:bCs w:val="0"/>
          <w:lang w:eastAsia="zh-CN"/>
        </w:rPr>
        <w:t>2024年1月1日</w:t>
      </w:r>
      <w:r>
        <w:rPr>
          <w:rFonts w:hint="eastAsia" w:ascii="仿宋" w:hAnsi="仿宋" w:eastAsia="仿宋" w:cs="仿宋"/>
          <w:b w:val="0"/>
          <w:bCs w:val="0"/>
        </w:rPr>
        <w:t>之前。根据一体化系统导出预算阶段性项目明细数据。2024年本部门最终安排部门预算阶段项目（含一次性项目）总数2个，项目入库及时率100%。</w:t>
      </w:r>
    </w:p>
    <w:p>
      <w:pPr>
        <w:pStyle w:val="5"/>
        <w:numPr>
          <w:ilvl w:val="0"/>
          <w:numId w:val="0"/>
        </w:numPr>
        <w:spacing w:line="360" w:lineRule="auto"/>
        <w:ind w:firstLine="640" w:firstLineChars="200"/>
        <w:rPr>
          <w:rFonts w:hint="eastAsia" w:ascii="仿宋" w:hAnsi="仿宋" w:eastAsia="仿宋" w:cs="仿宋"/>
          <w:b w:val="0"/>
          <w:bCs w:val="0"/>
        </w:rPr>
      </w:pPr>
      <w:r>
        <w:rPr>
          <w:rFonts w:hint="eastAsia" w:ascii="仿宋" w:hAnsi="仿宋" w:eastAsia="仿宋" w:cs="仿宋"/>
          <w:b w:val="0"/>
          <w:bCs w:val="0"/>
          <w:lang w:val="en-US" w:eastAsia="zh-CN"/>
        </w:rPr>
        <w:t>2.项目执行。</w:t>
      </w:r>
      <w:r>
        <w:rPr>
          <w:rFonts w:hint="eastAsia" w:ascii="仿宋" w:hAnsi="仿宋" w:eastAsia="仿宋" w:cs="仿宋"/>
          <w:b w:val="0"/>
          <w:bCs w:val="0"/>
        </w:rPr>
        <w:t>执行同向；2024年本单位预算阶段项目（含一次性项目）总数2个，按照“抽评的部门预算阶段项目（含一次性项目）总数10个以下的全部纳入，每增加5个多纳入1个，最多不超过30个”，抽</w:t>
      </w:r>
      <w:r>
        <w:rPr>
          <w:rFonts w:hint="eastAsia" w:ascii="仿宋" w:hAnsi="仿宋" w:eastAsia="仿宋" w:cs="仿宋"/>
          <w:b w:val="0"/>
          <w:bCs w:val="0"/>
          <w:lang w:eastAsia="zh-CN"/>
        </w:rPr>
        <w:t>评</w:t>
      </w:r>
      <w:r>
        <w:rPr>
          <w:rFonts w:hint="eastAsia" w:ascii="仿宋" w:hAnsi="仿宋" w:eastAsia="仿宋" w:cs="仿宋"/>
          <w:b w:val="0"/>
          <w:bCs w:val="0"/>
        </w:rPr>
        <w:t>2个项目。</w:t>
      </w:r>
    </w:p>
    <w:p>
      <w:pPr>
        <w:pStyle w:val="5"/>
        <w:numPr>
          <w:ilvl w:val="0"/>
          <w:numId w:val="0"/>
        </w:numPr>
        <w:spacing w:line="360" w:lineRule="auto"/>
        <w:ind w:firstLine="720" w:firstLineChars="200"/>
        <w:rPr>
          <w:rFonts w:ascii="仿宋" w:hAnsi="仿宋" w:eastAsia="仿宋" w:cs="仿宋"/>
          <w:b w:val="0"/>
        </w:rPr>
      </w:pPr>
      <w:r>
        <w:rPr>
          <w:rFonts w:hint="eastAsia" w:ascii="仿宋" w:hAnsi="仿宋" w:eastAsia="仿宋" w:cs="仿宋"/>
          <w:b w:val="0"/>
          <w:bCs/>
          <w:sz w:val="36"/>
          <w:szCs w:val="36"/>
          <w:lang w:eastAsia="zh-CN"/>
        </w:rPr>
        <w:t>项目调整</w:t>
      </w:r>
      <w:r>
        <w:rPr>
          <w:rFonts w:hint="eastAsia" w:ascii="仿宋" w:hAnsi="仿宋" w:eastAsia="仿宋" w:cs="仿宋"/>
          <w:b w:val="0"/>
          <w:lang w:eastAsia="zh-CN"/>
        </w:rPr>
        <w:t>；</w:t>
      </w:r>
      <w:r>
        <w:rPr>
          <w:rFonts w:hint="eastAsia" w:ascii="仿宋" w:hAnsi="仿宋" w:eastAsia="仿宋" w:cs="仿宋"/>
          <w:b w:val="0"/>
        </w:rPr>
        <w:t>2024年本部门应采取中期调整目标等处置措施的部门预算阶段项目（含一次性项目）总数2个，不涉及应采取未采取收回预算、调整目标等处置措施的部门预算阶段项目（含一次性项目）总数2个。</w:t>
      </w:r>
    </w:p>
    <w:p>
      <w:pPr>
        <w:pStyle w:val="5"/>
        <w:numPr>
          <w:ilvl w:val="0"/>
          <w:numId w:val="0"/>
        </w:numPr>
        <w:ind w:firstLine="640" w:firstLineChars="200"/>
        <w:rPr>
          <w:rFonts w:ascii="仿宋" w:hAnsi="仿宋" w:eastAsia="仿宋" w:cs="仿宋"/>
          <w:b w:val="0"/>
        </w:rPr>
      </w:pPr>
      <w:r>
        <w:rPr>
          <w:rFonts w:hint="eastAsia" w:ascii="仿宋" w:hAnsi="仿宋" w:eastAsia="仿宋" w:cs="仿宋"/>
          <w:b w:val="0"/>
          <w:bCs w:val="0"/>
        </w:rPr>
        <w:t>执行结果；</w:t>
      </w:r>
      <w:r>
        <w:rPr>
          <w:rFonts w:hint="eastAsia" w:ascii="仿宋" w:hAnsi="仿宋" w:eastAsia="仿宋" w:cs="仿宋"/>
          <w:b w:val="0"/>
        </w:rPr>
        <w:t>2024年本单位共实施24个项目，其中：常年项目22个，一次性项目和阶段项目2个。根据一体化系统预算可执行情况表，共22个常年项目预算结余率小于10%，共2个一次性项目和阶段项目预算结余率小于</w:t>
      </w:r>
      <w:r>
        <w:rPr>
          <w:rFonts w:hint="eastAsia" w:ascii="仿宋" w:hAnsi="仿宋" w:eastAsia="仿宋" w:cs="仿宋"/>
          <w:b w:val="0"/>
          <w:lang w:val="en-US" w:eastAsia="zh-CN"/>
        </w:rPr>
        <w:t>10%</w:t>
      </w:r>
      <w:r>
        <w:rPr>
          <w:rFonts w:hint="eastAsia" w:ascii="仿宋" w:hAnsi="仿宋" w:eastAsia="仿宋" w:cs="仿宋"/>
          <w:b w:val="0"/>
        </w:rPr>
        <w:t>。</w:t>
      </w:r>
    </w:p>
    <w:p>
      <w:pPr>
        <w:pStyle w:val="5"/>
        <w:ind w:firstLine="642" w:firstLineChars="200"/>
        <w:rPr>
          <w:b w:val="0"/>
        </w:rPr>
      </w:pPr>
      <w:r>
        <w:rPr>
          <w:rFonts w:hint="eastAsia" w:ascii="仿宋" w:hAnsi="仿宋" w:eastAsia="仿宋" w:cs="仿宋"/>
          <w:color w:val="000000"/>
          <w:kern w:val="0"/>
          <w:shd w:val="clear" w:color="auto" w:fill="FFFFFF"/>
        </w:rPr>
        <w:t>3.</w:t>
      </w:r>
      <w:r>
        <w:rPr>
          <w:rFonts w:hint="eastAsia" w:ascii="仿宋" w:hAnsi="仿宋" w:eastAsia="仿宋" w:cs="仿宋"/>
          <w:color w:val="000000"/>
          <w:kern w:val="0"/>
          <w:shd w:val="clear" w:color="auto" w:fill="FFFFFF"/>
          <w:lang w:val="zh-CN"/>
        </w:rPr>
        <w:t>目标实现。（</w:t>
      </w:r>
      <w:r>
        <w:rPr>
          <w:rFonts w:hint="eastAsia" w:ascii="仿宋" w:hAnsi="仿宋" w:eastAsia="仿宋" w:cs="仿宋"/>
        </w:rPr>
        <w:t>1）目标完成；</w:t>
      </w:r>
      <w:r>
        <w:rPr>
          <w:rFonts w:hint="eastAsia" w:ascii="仿宋" w:hAnsi="仿宋" w:eastAsia="仿宋" w:cs="仿宋"/>
          <w:b w:val="0"/>
        </w:rPr>
        <w:t>2024年本单位共实施24个项目，财务机构抽查2个项目核查项目目标完成情况。2个项目共有3条数量指标，3条数量指标均完成目标值。具体情况详见下表（参考样表</w:t>
      </w:r>
      <w:r>
        <w:rPr>
          <w:rFonts w:hint="eastAsia"/>
          <w:b w:val="0"/>
        </w:rPr>
        <w:t>）：</w:t>
      </w:r>
    </w:p>
    <w:tbl>
      <w:tblPr>
        <w:tblStyle w:val="17"/>
        <w:tblW w:w="4984" w:type="pct"/>
        <w:jc w:val="center"/>
        <w:tblLayout w:type="autofit"/>
        <w:tblCellMar>
          <w:top w:w="0" w:type="dxa"/>
          <w:left w:w="108" w:type="dxa"/>
          <w:bottom w:w="0" w:type="dxa"/>
          <w:right w:w="108" w:type="dxa"/>
        </w:tblCellMar>
      </w:tblPr>
      <w:tblGrid>
        <w:gridCol w:w="770"/>
        <w:gridCol w:w="1584"/>
        <w:gridCol w:w="1647"/>
        <w:gridCol w:w="1100"/>
        <w:gridCol w:w="780"/>
        <w:gridCol w:w="976"/>
        <w:gridCol w:w="1635"/>
      </w:tblGrid>
      <w:tr>
        <w:tblPrEx>
          <w:tblCellMar>
            <w:top w:w="0" w:type="dxa"/>
            <w:left w:w="108" w:type="dxa"/>
            <w:bottom w:w="0" w:type="dxa"/>
            <w:right w:w="108" w:type="dxa"/>
          </w:tblCellMar>
        </w:tblPrEx>
        <w:trPr>
          <w:trHeight w:val="397" w:hRule="atLeast"/>
          <w:tblHeader/>
          <w:jc w:val="center"/>
        </w:trPr>
        <w:tc>
          <w:tcPr>
            <w:tcW w:w="453" w:type="pct"/>
            <w:tcBorders>
              <w:top w:val="single" w:color="000000" w:sz="4" w:space="0"/>
              <w:left w:val="single" w:color="000000" w:sz="4" w:space="0"/>
              <w:bottom w:val="single" w:color="000000" w:sz="4" w:space="0"/>
              <w:right w:val="single" w:color="000000"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center"/>
              <w:rPr>
                <w:rFonts w:ascii="仿宋" w:hAnsi="仿宋" w:eastAsia="仿宋" w:cs="仿宋"/>
                <w:b/>
                <w:bCs/>
                <w:color w:val="000000"/>
                <w:sz w:val="22"/>
                <w:szCs w:val="22"/>
              </w:rPr>
            </w:pPr>
            <w:r>
              <w:rPr>
                <w:rFonts w:hint="eastAsia" w:ascii="仿宋" w:hAnsi="仿宋" w:eastAsia="仿宋" w:cs="仿宋"/>
                <w:b/>
                <w:bCs/>
                <w:color w:val="000000"/>
                <w:kern w:val="0"/>
                <w:sz w:val="22"/>
                <w:szCs w:val="22"/>
              </w:rPr>
              <w:t>序号</w:t>
            </w:r>
          </w:p>
        </w:tc>
        <w:tc>
          <w:tcPr>
            <w:tcW w:w="932" w:type="pct"/>
            <w:tcBorders>
              <w:top w:val="single" w:color="000000" w:sz="4" w:space="0"/>
              <w:left w:val="single" w:color="000000" w:sz="4" w:space="0"/>
              <w:bottom w:val="single" w:color="000000" w:sz="4" w:space="0"/>
              <w:right w:val="single" w:color="000000"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center"/>
              <w:rPr>
                <w:rFonts w:ascii="仿宋" w:hAnsi="仿宋" w:eastAsia="仿宋" w:cs="仿宋"/>
                <w:b/>
                <w:bCs/>
                <w:color w:val="000000"/>
                <w:sz w:val="22"/>
                <w:szCs w:val="22"/>
              </w:rPr>
            </w:pPr>
            <w:r>
              <w:rPr>
                <w:rFonts w:hint="eastAsia" w:ascii="仿宋" w:hAnsi="仿宋" w:eastAsia="仿宋" w:cs="仿宋"/>
                <w:b/>
                <w:bCs/>
                <w:color w:val="000000"/>
                <w:kern w:val="0"/>
                <w:sz w:val="22"/>
                <w:szCs w:val="22"/>
              </w:rPr>
              <w:t>项目名称</w:t>
            </w:r>
          </w:p>
        </w:tc>
        <w:tc>
          <w:tcPr>
            <w:tcW w:w="969" w:type="pct"/>
            <w:tcBorders>
              <w:top w:val="single" w:color="000000" w:sz="4" w:space="0"/>
              <w:left w:val="single" w:color="000000" w:sz="4" w:space="0"/>
              <w:bottom w:val="single" w:color="000000" w:sz="4" w:space="0"/>
              <w:right w:val="single" w:color="000000"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center"/>
              <w:rPr>
                <w:rFonts w:ascii="仿宋" w:hAnsi="仿宋" w:eastAsia="仿宋" w:cs="仿宋"/>
                <w:b/>
                <w:bCs/>
                <w:color w:val="000000"/>
                <w:sz w:val="22"/>
                <w:szCs w:val="22"/>
              </w:rPr>
            </w:pPr>
            <w:r>
              <w:rPr>
                <w:rFonts w:hint="eastAsia" w:ascii="仿宋" w:hAnsi="仿宋" w:eastAsia="仿宋" w:cs="仿宋"/>
                <w:b/>
                <w:bCs/>
                <w:color w:val="000000"/>
                <w:kern w:val="0"/>
                <w:sz w:val="22"/>
                <w:szCs w:val="22"/>
              </w:rPr>
              <w:t>数量指标</w:t>
            </w:r>
          </w:p>
        </w:tc>
        <w:tc>
          <w:tcPr>
            <w:tcW w:w="647" w:type="pct"/>
            <w:tcBorders>
              <w:top w:val="single" w:color="000000" w:sz="4" w:space="0"/>
              <w:left w:val="single" w:color="000000" w:sz="4" w:space="0"/>
              <w:bottom w:val="single" w:color="000000" w:sz="4" w:space="0"/>
              <w:right w:val="single" w:color="000000"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center"/>
              <w:rPr>
                <w:rFonts w:ascii="仿宋" w:hAnsi="仿宋" w:eastAsia="仿宋" w:cs="仿宋"/>
                <w:b/>
                <w:bCs/>
                <w:color w:val="000000"/>
                <w:sz w:val="22"/>
                <w:szCs w:val="22"/>
              </w:rPr>
            </w:pPr>
            <w:r>
              <w:rPr>
                <w:rFonts w:hint="eastAsia" w:ascii="仿宋" w:hAnsi="仿宋" w:eastAsia="仿宋" w:cs="仿宋"/>
                <w:b/>
                <w:bCs/>
                <w:color w:val="000000"/>
                <w:kern w:val="0"/>
                <w:sz w:val="22"/>
                <w:szCs w:val="22"/>
              </w:rPr>
              <w:t>目标值</w:t>
            </w:r>
          </w:p>
        </w:tc>
        <w:tc>
          <w:tcPr>
            <w:tcW w:w="459" w:type="pct"/>
            <w:tcBorders>
              <w:top w:val="single" w:color="000000" w:sz="4" w:space="0"/>
              <w:left w:val="single" w:color="000000" w:sz="4" w:space="0"/>
              <w:bottom w:val="single" w:color="000000" w:sz="4" w:space="0"/>
              <w:right w:val="single" w:color="000000"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center"/>
              <w:rPr>
                <w:rFonts w:ascii="仿宋" w:hAnsi="仿宋" w:eastAsia="仿宋" w:cs="仿宋"/>
                <w:b/>
                <w:bCs/>
                <w:color w:val="000000"/>
                <w:sz w:val="22"/>
                <w:szCs w:val="22"/>
              </w:rPr>
            </w:pPr>
            <w:r>
              <w:rPr>
                <w:rFonts w:hint="eastAsia" w:ascii="仿宋" w:hAnsi="仿宋" w:eastAsia="仿宋" w:cs="仿宋"/>
                <w:b/>
                <w:bCs/>
                <w:color w:val="000000"/>
                <w:kern w:val="0"/>
                <w:sz w:val="22"/>
                <w:szCs w:val="22"/>
              </w:rPr>
              <w:t>完成值</w:t>
            </w:r>
          </w:p>
        </w:tc>
        <w:tc>
          <w:tcPr>
            <w:tcW w:w="574" w:type="pct"/>
            <w:tcBorders>
              <w:top w:val="single" w:color="000000" w:sz="4" w:space="0"/>
              <w:left w:val="single" w:color="000000" w:sz="4" w:space="0"/>
              <w:bottom w:val="single" w:color="000000" w:sz="4" w:space="0"/>
              <w:right w:val="single" w:color="000000"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center"/>
              <w:rPr>
                <w:rFonts w:ascii="仿宋" w:hAnsi="仿宋" w:eastAsia="仿宋" w:cs="仿宋"/>
                <w:b/>
                <w:bCs/>
                <w:color w:val="000000"/>
                <w:sz w:val="22"/>
                <w:szCs w:val="22"/>
              </w:rPr>
            </w:pPr>
            <w:r>
              <w:rPr>
                <w:rFonts w:hint="eastAsia" w:ascii="仿宋" w:hAnsi="仿宋" w:eastAsia="仿宋" w:cs="仿宋"/>
                <w:b/>
                <w:bCs/>
                <w:color w:val="000000"/>
                <w:kern w:val="0"/>
                <w:sz w:val="22"/>
                <w:szCs w:val="22"/>
              </w:rPr>
              <w:t>目标完成情况</w:t>
            </w:r>
          </w:p>
        </w:tc>
        <w:tc>
          <w:tcPr>
            <w:tcW w:w="962" w:type="pct"/>
            <w:tcBorders>
              <w:top w:val="single" w:color="000000" w:sz="4" w:space="0"/>
              <w:left w:val="single" w:color="000000" w:sz="4" w:space="0"/>
              <w:bottom w:val="single" w:color="auto" w:sz="4" w:space="0"/>
              <w:right w:val="single" w:color="000000"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center"/>
              <w:rPr>
                <w:rFonts w:ascii="仿宋" w:hAnsi="仿宋" w:eastAsia="仿宋" w:cs="仿宋"/>
                <w:b/>
                <w:bCs/>
                <w:color w:val="000000"/>
                <w:sz w:val="22"/>
                <w:szCs w:val="22"/>
              </w:rPr>
            </w:pPr>
            <w:r>
              <w:rPr>
                <w:rFonts w:hint="eastAsia" w:ascii="仿宋" w:hAnsi="仿宋" w:eastAsia="仿宋" w:cs="仿宋"/>
                <w:b/>
                <w:bCs/>
                <w:color w:val="000000"/>
                <w:kern w:val="0"/>
                <w:sz w:val="22"/>
                <w:szCs w:val="22"/>
              </w:rPr>
              <w:t>数据来源</w:t>
            </w:r>
          </w:p>
        </w:tc>
      </w:tr>
      <w:tr>
        <w:tblPrEx>
          <w:tblCellMar>
            <w:top w:w="0" w:type="dxa"/>
            <w:left w:w="108" w:type="dxa"/>
            <w:bottom w:w="0" w:type="dxa"/>
            <w:right w:w="108" w:type="dxa"/>
          </w:tblCellMar>
        </w:tblPrEx>
        <w:trPr>
          <w:trHeight w:val="397" w:hRule="atLeast"/>
          <w:jc w:val="center"/>
        </w:trPr>
        <w:tc>
          <w:tcPr>
            <w:tcW w:w="453" w:type="pct"/>
            <w:tcBorders>
              <w:top w:val="single" w:color="000000" w:sz="4" w:space="0"/>
              <w:left w:val="single" w:color="000000" w:sz="4" w:space="0"/>
              <w:bottom w:val="single" w:color="000000" w:sz="4" w:space="0"/>
              <w:right w:val="single" w:color="000000"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1</w:t>
            </w:r>
          </w:p>
        </w:tc>
        <w:tc>
          <w:tcPr>
            <w:tcW w:w="932" w:type="pct"/>
            <w:tcBorders>
              <w:top w:val="single" w:color="000000" w:sz="4" w:space="0"/>
              <w:left w:val="single" w:color="000000" w:sz="4" w:space="0"/>
              <w:bottom w:val="single" w:color="000000" w:sz="4" w:space="0"/>
              <w:right w:val="single" w:color="000000"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120指挥调度运行经费</w:t>
            </w:r>
          </w:p>
        </w:tc>
        <w:tc>
          <w:tcPr>
            <w:tcW w:w="969" w:type="pct"/>
            <w:tcBorders>
              <w:top w:val="single" w:color="000000" w:sz="4" w:space="0"/>
              <w:left w:val="single" w:color="000000" w:sz="4" w:space="0"/>
              <w:bottom w:val="single" w:color="000000" w:sz="4" w:space="0"/>
              <w:right w:val="single" w:color="000000"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120指挥调度平台稳定运行</w:t>
            </w:r>
          </w:p>
        </w:tc>
        <w:tc>
          <w:tcPr>
            <w:tcW w:w="647" w:type="pct"/>
            <w:tcBorders>
              <w:top w:val="single" w:color="000000" w:sz="4" w:space="0"/>
              <w:left w:val="single" w:color="000000" w:sz="4" w:space="0"/>
              <w:bottom w:val="single" w:color="000000" w:sz="4" w:space="0"/>
              <w:right w:val="single" w:color="000000" w:sz="4" w:space="0"/>
            </w:tcBorders>
            <w:noWrap/>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≥1</w:t>
            </w:r>
          </w:p>
        </w:tc>
        <w:tc>
          <w:tcPr>
            <w:tcW w:w="459" w:type="pct"/>
            <w:tcBorders>
              <w:top w:val="single" w:color="000000" w:sz="4" w:space="0"/>
              <w:left w:val="single" w:color="000000" w:sz="4" w:space="0"/>
              <w:bottom w:val="single" w:color="000000" w:sz="4" w:space="0"/>
              <w:right w:val="single" w:color="000000" w:sz="4" w:space="0"/>
            </w:tcBorders>
            <w:noWrap/>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1</w:t>
            </w:r>
          </w:p>
        </w:tc>
        <w:tc>
          <w:tcPr>
            <w:tcW w:w="574" w:type="pct"/>
            <w:tcBorders>
              <w:top w:val="single" w:color="000000" w:sz="4" w:space="0"/>
              <w:left w:val="single" w:color="000000" w:sz="4" w:space="0"/>
              <w:bottom w:val="single" w:color="000000"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完成</w:t>
            </w:r>
          </w:p>
        </w:tc>
        <w:tc>
          <w:tcPr>
            <w:tcW w:w="962" w:type="pct"/>
            <w:vMerge w:val="restart"/>
            <w:tcBorders>
              <w:top w:val="single" w:color="auto" w:sz="4" w:space="0"/>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项目绩效目标申报表、支付凭证、项目绩效自评报告、验收报告等</w:t>
            </w:r>
          </w:p>
        </w:tc>
      </w:tr>
      <w:tr>
        <w:tblPrEx>
          <w:tblCellMar>
            <w:top w:w="0" w:type="dxa"/>
            <w:left w:w="108" w:type="dxa"/>
            <w:bottom w:w="0" w:type="dxa"/>
            <w:right w:w="108" w:type="dxa"/>
          </w:tblCellMar>
        </w:tblPrEx>
        <w:trPr>
          <w:trHeight w:val="918" w:hRule="atLeast"/>
          <w:jc w:val="center"/>
        </w:trPr>
        <w:tc>
          <w:tcPr>
            <w:tcW w:w="453" w:type="pct"/>
            <w:tcBorders>
              <w:top w:val="single" w:color="000000" w:sz="4" w:space="0"/>
              <w:left w:val="single" w:color="000000" w:sz="4" w:space="0"/>
              <w:bottom w:val="single" w:color="000000" w:sz="4" w:space="0"/>
              <w:right w:val="single" w:color="000000"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2</w:t>
            </w:r>
          </w:p>
        </w:tc>
        <w:tc>
          <w:tcPr>
            <w:tcW w:w="932" w:type="pct"/>
            <w:tcBorders>
              <w:top w:val="single" w:color="000000" w:sz="4" w:space="0"/>
              <w:left w:val="single" w:color="000000" w:sz="4" w:space="0"/>
              <w:bottom w:val="single" w:color="000000" w:sz="4" w:space="0"/>
              <w:right w:val="single" w:color="000000"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中医药传承创新</w:t>
            </w:r>
          </w:p>
        </w:tc>
        <w:tc>
          <w:tcPr>
            <w:tcW w:w="969" w:type="pct"/>
            <w:tcBorders>
              <w:top w:val="single" w:color="000000" w:sz="4" w:space="0"/>
              <w:left w:val="single" w:color="000000" w:sz="4" w:space="0"/>
              <w:bottom w:val="single" w:color="000000" w:sz="4" w:space="0"/>
              <w:right w:val="single" w:color="000000"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center"/>
              <w:rPr>
                <w:rFonts w:ascii="仿宋" w:hAnsi="仿宋" w:eastAsia="仿宋" w:cs="仿宋"/>
                <w:color w:val="000000"/>
                <w:sz w:val="22"/>
                <w:szCs w:val="22"/>
              </w:rPr>
            </w:pPr>
            <w:r>
              <w:rPr>
                <w:rFonts w:ascii="宋体" w:hAnsi="宋体" w:cs="宋体"/>
                <w:color w:val="000000"/>
                <w:kern w:val="0"/>
                <w:sz w:val="18"/>
                <w:szCs w:val="18"/>
              </w:rPr>
              <w:t>中医药院前急救培训合格人数</w:t>
            </w:r>
          </w:p>
        </w:tc>
        <w:tc>
          <w:tcPr>
            <w:tcW w:w="647" w:type="pct"/>
            <w:tcBorders>
              <w:top w:val="single" w:color="000000" w:sz="4" w:space="0"/>
              <w:left w:val="single" w:color="000000" w:sz="4" w:space="0"/>
              <w:bottom w:val="single" w:color="000000" w:sz="4" w:space="0"/>
              <w:right w:val="single" w:color="000000" w:sz="4" w:space="0"/>
            </w:tcBorders>
            <w:noWrap/>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≥40人</w:t>
            </w:r>
          </w:p>
        </w:tc>
        <w:tc>
          <w:tcPr>
            <w:tcW w:w="459" w:type="pct"/>
            <w:tcBorders>
              <w:top w:val="single" w:color="000000" w:sz="4" w:space="0"/>
              <w:left w:val="single" w:color="000000" w:sz="4" w:space="0"/>
              <w:bottom w:val="single" w:color="000000" w:sz="4" w:space="0"/>
              <w:right w:val="single" w:color="000000" w:sz="4" w:space="0"/>
            </w:tcBorders>
            <w:noWrap/>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40人</w:t>
            </w:r>
          </w:p>
        </w:tc>
        <w:tc>
          <w:tcPr>
            <w:tcW w:w="574" w:type="pct"/>
            <w:tcBorders>
              <w:top w:val="single" w:color="000000" w:sz="4" w:space="0"/>
              <w:left w:val="single" w:color="000000" w:sz="4" w:space="0"/>
              <w:bottom w:val="single" w:color="000000"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完成</w:t>
            </w:r>
          </w:p>
        </w:tc>
        <w:tc>
          <w:tcPr>
            <w:tcW w:w="962" w:type="pct"/>
            <w:vMerge w:val="continue"/>
            <w:tcBorders>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572" w:hRule="atLeast"/>
          <w:jc w:val="center"/>
        </w:trPr>
        <w:tc>
          <w:tcPr>
            <w:tcW w:w="453" w:type="pct"/>
            <w:tcBorders>
              <w:top w:val="single" w:color="000000" w:sz="4" w:space="0"/>
              <w:left w:val="single" w:color="000000" w:sz="4" w:space="0"/>
              <w:bottom w:val="single" w:color="000000" w:sz="4" w:space="0"/>
              <w:right w:val="single" w:color="000000"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3</w:t>
            </w:r>
          </w:p>
        </w:tc>
        <w:tc>
          <w:tcPr>
            <w:tcW w:w="932" w:type="pct"/>
            <w:tcBorders>
              <w:top w:val="single" w:color="000000" w:sz="4" w:space="0"/>
              <w:left w:val="single" w:color="000000" w:sz="4" w:space="0"/>
              <w:bottom w:val="single" w:color="000000" w:sz="4" w:space="0"/>
              <w:right w:val="single" w:color="000000"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中医药传承创新</w:t>
            </w:r>
          </w:p>
        </w:tc>
        <w:tc>
          <w:tcPr>
            <w:tcW w:w="969" w:type="pct"/>
            <w:tcBorders>
              <w:top w:val="single" w:color="000000" w:sz="4" w:space="0"/>
              <w:left w:val="single" w:color="000000" w:sz="4" w:space="0"/>
              <w:bottom w:val="single" w:color="000000" w:sz="4" w:space="0"/>
              <w:right w:val="single" w:color="000000"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center"/>
              <w:rPr>
                <w:rFonts w:ascii="仿宋" w:hAnsi="仿宋" w:eastAsia="仿宋" w:cs="仿宋"/>
                <w:color w:val="000000"/>
                <w:sz w:val="22"/>
                <w:szCs w:val="22"/>
              </w:rPr>
            </w:pPr>
            <w:r>
              <w:rPr>
                <w:rFonts w:ascii="宋体" w:hAnsi="宋体" w:cs="宋体"/>
                <w:color w:val="000000"/>
                <w:kern w:val="0"/>
                <w:sz w:val="18"/>
                <w:szCs w:val="18"/>
              </w:rPr>
              <w:t>中医药院前急救培训</w:t>
            </w:r>
            <w:r>
              <w:rPr>
                <w:rFonts w:hint="eastAsia" w:ascii="宋体" w:hAnsi="宋体" w:cs="宋体"/>
                <w:color w:val="000000"/>
                <w:kern w:val="0"/>
                <w:sz w:val="18"/>
                <w:szCs w:val="18"/>
              </w:rPr>
              <w:t>次数</w:t>
            </w:r>
          </w:p>
        </w:tc>
        <w:tc>
          <w:tcPr>
            <w:tcW w:w="647" w:type="pct"/>
            <w:tcBorders>
              <w:top w:val="single" w:color="000000" w:sz="4" w:space="0"/>
              <w:left w:val="single" w:color="000000" w:sz="4" w:space="0"/>
              <w:bottom w:val="single" w:color="000000" w:sz="4" w:space="0"/>
              <w:right w:val="single" w:color="000000" w:sz="4" w:space="0"/>
            </w:tcBorders>
            <w:noWrap/>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≥1次</w:t>
            </w:r>
          </w:p>
        </w:tc>
        <w:tc>
          <w:tcPr>
            <w:tcW w:w="459" w:type="pct"/>
            <w:tcBorders>
              <w:top w:val="single" w:color="000000" w:sz="4" w:space="0"/>
              <w:left w:val="single" w:color="000000" w:sz="4" w:space="0"/>
              <w:bottom w:val="single" w:color="000000" w:sz="4" w:space="0"/>
              <w:right w:val="single" w:color="000000" w:sz="4" w:space="0"/>
            </w:tcBorders>
            <w:noWrap/>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1次</w:t>
            </w:r>
          </w:p>
        </w:tc>
        <w:tc>
          <w:tcPr>
            <w:tcW w:w="574" w:type="pct"/>
            <w:tcBorders>
              <w:top w:val="single" w:color="000000" w:sz="4" w:space="0"/>
              <w:left w:val="single" w:color="000000" w:sz="4" w:space="0"/>
              <w:bottom w:val="single" w:color="000000"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完成</w:t>
            </w:r>
          </w:p>
        </w:tc>
        <w:tc>
          <w:tcPr>
            <w:tcW w:w="962" w:type="pct"/>
            <w:vMerge w:val="continue"/>
            <w:tcBorders>
              <w:left w:val="single" w:color="auto" w:sz="4" w:space="0"/>
              <w:bottom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rPr>
                <w:rFonts w:ascii="仿宋" w:hAnsi="仿宋" w:eastAsia="仿宋" w:cs="仿宋"/>
                <w:color w:val="000000"/>
                <w:sz w:val="22"/>
                <w:szCs w:val="22"/>
              </w:rPr>
            </w:pPr>
          </w:p>
        </w:tc>
      </w:tr>
    </w:tbl>
    <w:p>
      <w:pPr>
        <w:numPr>
          <w:ilvl w:val="0"/>
          <w:numId w:val="9"/>
        </w:numPr>
        <w:ind w:firstLine="642" w:firstLineChars="200"/>
        <w:rPr>
          <w:rFonts w:ascii="仿宋" w:hAnsi="仿宋" w:eastAsia="仿宋" w:cs="仿宋"/>
          <w:sz w:val="32"/>
          <w:szCs w:val="32"/>
        </w:rPr>
      </w:pPr>
      <w:r>
        <w:rPr>
          <w:rFonts w:hint="eastAsia" w:ascii="仿宋" w:hAnsi="仿宋" w:eastAsia="仿宋" w:cs="仿宋"/>
          <w:b/>
          <w:sz w:val="32"/>
          <w:szCs w:val="32"/>
        </w:rPr>
        <w:t>目标偏离</w:t>
      </w:r>
      <w:r>
        <w:rPr>
          <w:rFonts w:hint="eastAsia" w:ascii="仿宋" w:hAnsi="仿宋" w:eastAsia="仿宋" w:cs="仿宋"/>
          <w:sz w:val="32"/>
          <w:szCs w:val="32"/>
        </w:rPr>
        <w:t>；2024年本单位共实施24个项目，财务机构抽查2个项目核查项目目标完成情况。2个项目共有3条数量指标，2024年已完成预期指标值的数量指标共计3条，其中0条数量指标偏离度≥30%。具体情况详见下表（参考样表）：</w:t>
      </w:r>
    </w:p>
    <w:tbl>
      <w:tblPr>
        <w:tblStyle w:val="17"/>
        <w:tblW w:w="4996" w:type="pct"/>
        <w:tblInd w:w="0" w:type="dxa"/>
        <w:tblLayout w:type="autofit"/>
        <w:tblCellMar>
          <w:top w:w="0" w:type="dxa"/>
          <w:left w:w="108" w:type="dxa"/>
          <w:bottom w:w="0" w:type="dxa"/>
          <w:right w:w="108" w:type="dxa"/>
        </w:tblCellMar>
      </w:tblPr>
      <w:tblGrid>
        <w:gridCol w:w="775"/>
        <w:gridCol w:w="1586"/>
        <w:gridCol w:w="1070"/>
        <w:gridCol w:w="1682"/>
        <w:gridCol w:w="1232"/>
        <w:gridCol w:w="1070"/>
        <w:gridCol w:w="1097"/>
      </w:tblGrid>
      <w:tr>
        <w:tblPrEx>
          <w:tblCellMar>
            <w:top w:w="0" w:type="dxa"/>
            <w:left w:w="108" w:type="dxa"/>
            <w:bottom w:w="0" w:type="dxa"/>
            <w:right w:w="108" w:type="dxa"/>
          </w:tblCellMar>
        </w:tblPrEx>
        <w:trPr>
          <w:trHeight w:val="576" w:hRule="atLeast"/>
          <w:tblHeader/>
        </w:trPr>
        <w:tc>
          <w:tcPr>
            <w:tcW w:w="45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000000"/>
                <w:sz w:val="22"/>
                <w:szCs w:val="22"/>
              </w:rPr>
            </w:pPr>
            <w:r>
              <w:rPr>
                <w:rFonts w:hint="eastAsia" w:ascii="仿宋" w:hAnsi="仿宋" w:eastAsia="仿宋" w:cs="仿宋"/>
                <w:b/>
                <w:bCs/>
                <w:color w:val="000000"/>
                <w:kern w:val="0"/>
                <w:sz w:val="22"/>
                <w:szCs w:val="22"/>
              </w:rPr>
              <w:t>序号</w:t>
            </w:r>
          </w:p>
        </w:tc>
        <w:tc>
          <w:tcPr>
            <w:tcW w:w="93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000000"/>
                <w:sz w:val="22"/>
                <w:szCs w:val="22"/>
              </w:rPr>
            </w:pPr>
            <w:r>
              <w:rPr>
                <w:rFonts w:hint="eastAsia" w:ascii="仿宋" w:hAnsi="仿宋" w:eastAsia="仿宋" w:cs="仿宋"/>
                <w:b/>
                <w:bCs/>
                <w:color w:val="000000"/>
                <w:kern w:val="0"/>
                <w:sz w:val="22"/>
                <w:szCs w:val="22"/>
              </w:rPr>
              <w:t>项目名称</w:t>
            </w:r>
          </w:p>
        </w:tc>
        <w:tc>
          <w:tcPr>
            <w:tcW w:w="62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000000"/>
                <w:sz w:val="22"/>
                <w:szCs w:val="22"/>
              </w:rPr>
            </w:pPr>
            <w:r>
              <w:rPr>
                <w:rFonts w:hint="eastAsia" w:ascii="仿宋" w:hAnsi="仿宋" w:eastAsia="仿宋" w:cs="仿宋"/>
                <w:b/>
                <w:bCs/>
                <w:color w:val="000000"/>
                <w:kern w:val="0"/>
                <w:sz w:val="22"/>
                <w:szCs w:val="22"/>
              </w:rPr>
              <w:t>数量指标</w:t>
            </w:r>
          </w:p>
        </w:tc>
        <w:tc>
          <w:tcPr>
            <w:tcW w:w="98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000000"/>
                <w:sz w:val="22"/>
                <w:szCs w:val="22"/>
              </w:rPr>
            </w:pPr>
            <w:r>
              <w:rPr>
                <w:rFonts w:hint="eastAsia" w:ascii="仿宋" w:hAnsi="仿宋" w:eastAsia="仿宋" w:cs="仿宋"/>
                <w:b/>
                <w:bCs/>
                <w:color w:val="000000"/>
                <w:kern w:val="0"/>
                <w:sz w:val="22"/>
                <w:szCs w:val="22"/>
              </w:rPr>
              <w:t>目标值</w:t>
            </w:r>
          </w:p>
        </w:tc>
        <w:tc>
          <w:tcPr>
            <w:tcW w:w="72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000000"/>
                <w:sz w:val="22"/>
                <w:szCs w:val="22"/>
              </w:rPr>
            </w:pPr>
            <w:r>
              <w:rPr>
                <w:rFonts w:hint="eastAsia" w:ascii="仿宋" w:hAnsi="仿宋" w:eastAsia="仿宋" w:cs="仿宋"/>
                <w:b/>
                <w:bCs/>
                <w:color w:val="000000"/>
                <w:kern w:val="0"/>
                <w:sz w:val="22"/>
                <w:szCs w:val="22"/>
              </w:rPr>
              <w:t>完成值</w:t>
            </w:r>
          </w:p>
        </w:tc>
        <w:tc>
          <w:tcPr>
            <w:tcW w:w="62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000000"/>
                <w:sz w:val="22"/>
                <w:szCs w:val="22"/>
              </w:rPr>
            </w:pPr>
            <w:r>
              <w:rPr>
                <w:rFonts w:hint="eastAsia" w:ascii="仿宋" w:hAnsi="仿宋" w:eastAsia="仿宋" w:cs="仿宋"/>
                <w:b/>
                <w:bCs/>
                <w:color w:val="000000"/>
                <w:kern w:val="0"/>
                <w:sz w:val="22"/>
                <w:szCs w:val="22"/>
              </w:rPr>
              <w:t>目标完成情况</w:t>
            </w:r>
          </w:p>
        </w:tc>
        <w:tc>
          <w:tcPr>
            <w:tcW w:w="64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000000"/>
                <w:sz w:val="22"/>
                <w:szCs w:val="22"/>
              </w:rPr>
            </w:pPr>
            <w:r>
              <w:rPr>
                <w:rFonts w:hint="eastAsia" w:ascii="仿宋" w:hAnsi="仿宋" w:eastAsia="仿宋" w:cs="仿宋"/>
                <w:b/>
                <w:bCs/>
                <w:color w:val="000000"/>
                <w:kern w:val="0"/>
                <w:sz w:val="22"/>
                <w:szCs w:val="22"/>
              </w:rPr>
              <w:t>数据来源</w:t>
            </w:r>
          </w:p>
        </w:tc>
      </w:tr>
      <w:tr>
        <w:tblPrEx>
          <w:tblCellMar>
            <w:top w:w="0" w:type="dxa"/>
            <w:left w:w="108" w:type="dxa"/>
            <w:bottom w:w="0" w:type="dxa"/>
            <w:right w:w="108" w:type="dxa"/>
          </w:tblCellMar>
        </w:tblPrEx>
        <w:trPr>
          <w:trHeight w:val="90" w:hRule="atLeast"/>
        </w:trPr>
        <w:tc>
          <w:tcPr>
            <w:tcW w:w="45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1</w:t>
            </w:r>
          </w:p>
        </w:tc>
        <w:tc>
          <w:tcPr>
            <w:tcW w:w="93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120指挥调度运行经费</w:t>
            </w:r>
          </w:p>
        </w:tc>
        <w:tc>
          <w:tcPr>
            <w:tcW w:w="62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120指挥调度平台稳定运行</w:t>
            </w:r>
          </w:p>
        </w:tc>
        <w:tc>
          <w:tcPr>
            <w:tcW w:w="98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≥1</w:t>
            </w:r>
          </w:p>
        </w:tc>
        <w:tc>
          <w:tcPr>
            <w:tcW w:w="72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1</w:t>
            </w:r>
          </w:p>
        </w:tc>
        <w:tc>
          <w:tcPr>
            <w:tcW w:w="62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完成</w:t>
            </w:r>
          </w:p>
        </w:tc>
        <w:tc>
          <w:tcPr>
            <w:tcW w:w="644" w:type="pct"/>
            <w:vMerge w:val="restart"/>
            <w:tcBorders>
              <w:top w:val="single" w:color="000000" w:sz="4" w:space="0"/>
              <w:left w:val="single" w:color="000000" w:sz="4" w:space="0"/>
              <w:right w:val="single" w:color="000000" w:sz="4" w:space="0"/>
            </w:tcBorders>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项目绩效目标申报表、支付凭证、项目绩效自评报告、验收报告等</w:t>
            </w:r>
          </w:p>
        </w:tc>
      </w:tr>
      <w:tr>
        <w:tblPrEx>
          <w:tblCellMar>
            <w:top w:w="0" w:type="dxa"/>
            <w:left w:w="108" w:type="dxa"/>
            <w:bottom w:w="0" w:type="dxa"/>
            <w:right w:w="108" w:type="dxa"/>
          </w:tblCellMar>
        </w:tblPrEx>
        <w:trPr>
          <w:trHeight w:val="894" w:hRule="atLeast"/>
        </w:trPr>
        <w:tc>
          <w:tcPr>
            <w:tcW w:w="45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2</w:t>
            </w:r>
          </w:p>
        </w:tc>
        <w:tc>
          <w:tcPr>
            <w:tcW w:w="93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中医药传承创新</w:t>
            </w:r>
          </w:p>
        </w:tc>
        <w:tc>
          <w:tcPr>
            <w:tcW w:w="62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2"/>
                <w:szCs w:val="22"/>
              </w:rPr>
            </w:pPr>
            <w:r>
              <w:rPr>
                <w:rFonts w:ascii="宋体" w:hAnsi="宋体" w:cs="宋体"/>
                <w:color w:val="000000"/>
                <w:kern w:val="0"/>
                <w:sz w:val="18"/>
                <w:szCs w:val="18"/>
              </w:rPr>
              <w:t>中医药院前急救培训合格人数</w:t>
            </w:r>
          </w:p>
        </w:tc>
        <w:tc>
          <w:tcPr>
            <w:tcW w:w="98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≥40人</w:t>
            </w:r>
          </w:p>
        </w:tc>
        <w:tc>
          <w:tcPr>
            <w:tcW w:w="72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40人</w:t>
            </w:r>
          </w:p>
        </w:tc>
        <w:tc>
          <w:tcPr>
            <w:tcW w:w="62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完成</w:t>
            </w:r>
          </w:p>
        </w:tc>
        <w:tc>
          <w:tcPr>
            <w:tcW w:w="644" w:type="pct"/>
            <w:vMerge w:val="continue"/>
            <w:tcBorders>
              <w:left w:val="single" w:color="000000" w:sz="4" w:space="0"/>
              <w:right w:val="single" w:color="000000" w:sz="4" w:space="0"/>
            </w:tcBorders>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894" w:hRule="atLeast"/>
        </w:trPr>
        <w:tc>
          <w:tcPr>
            <w:tcW w:w="45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3</w:t>
            </w:r>
          </w:p>
        </w:tc>
        <w:tc>
          <w:tcPr>
            <w:tcW w:w="93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中医药传承创新</w:t>
            </w:r>
          </w:p>
        </w:tc>
        <w:tc>
          <w:tcPr>
            <w:tcW w:w="62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2"/>
                <w:szCs w:val="22"/>
              </w:rPr>
            </w:pPr>
            <w:r>
              <w:rPr>
                <w:rFonts w:ascii="宋体" w:hAnsi="宋体" w:cs="宋体"/>
                <w:color w:val="000000"/>
                <w:kern w:val="0"/>
                <w:sz w:val="18"/>
                <w:szCs w:val="18"/>
              </w:rPr>
              <w:t>中医药院前急救培训</w:t>
            </w:r>
            <w:r>
              <w:rPr>
                <w:rFonts w:hint="eastAsia" w:ascii="宋体" w:hAnsi="宋体" w:cs="宋体"/>
                <w:color w:val="000000"/>
                <w:kern w:val="0"/>
                <w:sz w:val="18"/>
                <w:szCs w:val="18"/>
              </w:rPr>
              <w:t>次数</w:t>
            </w:r>
          </w:p>
        </w:tc>
        <w:tc>
          <w:tcPr>
            <w:tcW w:w="98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≥1次</w:t>
            </w:r>
          </w:p>
        </w:tc>
        <w:tc>
          <w:tcPr>
            <w:tcW w:w="72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1次</w:t>
            </w:r>
          </w:p>
        </w:tc>
        <w:tc>
          <w:tcPr>
            <w:tcW w:w="62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完成</w:t>
            </w:r>
          </w:p>
        </w:tc>
        <w:tc>
          <w:tcPr>
            <w:tcW w:w="644" w:type="pct"/>
            <w:vMerge w:val="continue"/>
            <w:tcBorders>
              <w:left w:val="single" w:color="000000" w:sz="4" w:space="0"/>
              <w:bottom w:val="single" w:color="000000" w:sz="4" w:space="0"/>
              <w:right w:val="single" w:color="000000" w:sz="4" w:space="0"/>
            </w:tcBorders>
            <w:vAlign w:val="center"/>
          </w:tcPr>
          <w:p>
            <w:pPr>
              <w:jc w:val="center"/>
              <w:rPr>
                <w:rFonts w:ascii="仿宋" w:hAnsi="仿宋" w:eastAsia="仿宋" w:cs="仿宋"/>
                <w:color w:val="000000"/>
                <w:sz w:val="22"/>
                <w:szCs w:val="22"/>
              </w:rPr>
            </w:pPr>
          </w:p>
        </w:tc>
      </w:tr>
    </w:tbl>
    <w:p>
      <w:pPr>
        <w:pStyle w:val="5"/>
        <w:numPr>
          <w:ilvl w:val="0"/>
          <w:numId w:val="9"/>
        </w:numPr>
        <w:ind w:firstLine="642" w:firstLineChars="200"/>
        <w:rPr>
          <w:rFonts w:ascii="仿宋" w:hAnsi="仿宋" w:eastAsia="仿宋" w:cs="仿宋"/>
        </w:rPr>
      </w:pPr>
      <w:r>
        <w:rPr>
          <w:rFonts w:hint="eastAsia" w:ascii="仿宋" w:hAnsi="仿宋" w:eastAsia="仿宋" w:cs="仿宋"/>
        </w:rPr>
        <w:t>实现效果；</w:t>
      </w:r>
      <w:r>
        <w:rPr>
          <w:rFonts w:hint="eastAsia" w:ascii="仿宋" w:hAnsi="仿宋" w:eastAsia="仿宋" w:cs="仿宋"/>
          <w:b w:val="0"/>
        </w:rPr>
        <w:t>2024年本部门共实施24个项目，财务机构共抽查2个项目，2个项目共条效益指标，经核查4条效益指标完成。各类项目均实现其效果。具体情况详见下表：</w:t>
      </w:r>
    </w:p>
    <w:p>
      <w:pPr>
        <w:rPr>
          <w:rFonts w:hint="eastAsia" w:ascii="仿宋" w:hAnsi="仿宋" w:eastAsia="仿宋" w:cs="仿宋"/>
          <w:b w:val="0"/>
        </w:rPr>
      </w:pPr>
    </w:p>
    <w:p>
      <w:pPr>
        <w:pStyle w:val="2"/>
      </w:pPr>
    </w:p>
    <w:tbl>
      <w:tblPr>
        <w:tblStyle w:val="17"/>
        <w:tblW w:w="4922" w:type="pct"/>
        <w:jc w:val="center"/>
        <w:tblLayout w:type="autofit"/>
        <w:tblCellMar>
          <w:top w:w="0" w:type="dxa"/>
          <w:left w:w="108" w:type="dxa"/>
          <w:bottom w:w="0" w:type="dxa"/>
          <w:right w:w="108" w:type="dxa"/>
        </w:tblCellMar>
      </w:tblPr>
      <w:tblGrid>
        <w:gridCol w:w="1087"/>
        <w:gridCol w:w="1277"/>
        <w:gridCol w:w="1087"/>
        <w:gridCol w:w="1644"/>
        <w:gridCol w:w="1101"/>
        <w:gridCol w:w="1087"/>
        <w:gridCol w:w="1103"/>
      </w:tblGrid>
      <w:tr>
        <w:tblPrEx>
          <w:tblCellMar>
            <w:top w:w="0" w:type="dxa"/>
            <w:left w:w="108" w:type="dxa"/>
            <w:bottom w:w="0" w:type="dxa"/>
            <w:right w:w="108" w:type="dxa"/>
          </w:tblCellMar>
        </w:tblPrEx>
        <w:trPr>
          <w:trHeight w:val="591" w:hRule="atLeast"/>
          <w:tblHeader/>
          <w:jc w:val="center"/>
        </w:trPr>
        <w:tc>
          <w:tcPr>
            <w:tcW w:w="648" w:type="pct"/>
            <w:tcBorders>
              <w:top w:val="single" w:color="000000" w:sz="4" w:space="0"/>
              <w:left w:val="single" w:color="000000" w:sz="4" w:space="0"/>
              <w:bottom w:val="single" w:color="000000" w:sz="4" w:space="0"/>
              <w:right w:val="single" w:color="000000" w:sz="4" w:space="0"/>
            </w:tcBorders>
            <w:vAlign w:val="center"/>
          </w:tcPr>
          <w:p>
            <w:pPr>
              <w:keepNext/>
              <w:keepLines w:val="0"/>
              <w:pageBreakBefore w:val="0"/>
              <w:widowControl/>
              <w:kinsoku/>
              <w:wordWrap/>
              <w:overflowPunct/>
              <w:topLinePunct w:val="0"/>
              <w:autoSpaceDE/>
              <w:autoSpaceDN/>
              <w:bidi w:val="0"/>
              <w:adjustRightInd/>
              <w:snapToGrid/>
              <w:spacing w:line="240" w:lineRule="auto"/>
              <w:textAlignment w:val="center"/>
              <w:rPr>
                <w:rFonts w:ascii="仿宋" w:hAnsi="仿宋" w:eastAsia="仿宋" w:cs="仿宋"/>
                <w:b/>
                <w:bCs/>
                <w:color w:val="000000"/>
                <w:sz w:val="22"/>
                <w:szCs w:val="22"/>
              </w:rPr>
            </w:pPr>
            <w:r>
              <w:rPr>
                <w:rFonts w:hint="eastAsia" w:ascii="仿宋" w:hAnsi="仿宋" w:eastAsia="仿宋" w:cs="仿宋"/>
                <w:b/>
                <w:bCs/>
                <w:color w:val="000000"/>
                <w:kern w:val="0"/>
                <w:sz w:val="22"/>
                <w:szCs w:val="22"/>
              </w:rPr>
              <w:t>序号</w:t>
            </w:r>
          </w:p>
        </w:tc>
        <w:tc>
          <w:tcPr>
            <w:tcW w:w="761" w:type="pct"/>
            <w:tcBorders>
              <w:top w:val="single" w:color="000000" w:sz="4" w:space="0"/>
              <w:left w:val="single" w:color="000000" w:sz="4" w:space="0"/>
              <w:bottom w:val="single" w:color="000000" w:sz="4" w:space="0"/>
              <w:right w:val="single" w:color="000000" w:sz="4" w:space="0"/>
            </w:tcBorders>
            <w:vAlign w:val="center"/>
          </w:tcPr>
          <w:p>
            <w:pPr>
              <w:keepNext/>
              <w:keepLines w:val="0"/>
              <w:pageBreakBefore w:val="0"/>
              <w:widowControl/>
              <w:kinsoku/>
              <w:wordWrap/>
              <w:overflowPunct/>
              <w:topLinePunct w:val="0"/>
              <w:autoSpaceDE/>
              <w:autoSpaceDN/>
              <w:bidi w:val="0"/>
              <w:adjustRightInd/>
              <w:snapToGrid/>
              <w:spacing w:line="240" w:lineRule="auto"/>
              <w:jc w:val="center"/>
              <w:textAlignment w:val="center"/>
              <w:rPr>
                <w:rFonts w:ascii="仿宋" w:hAnsi="仿宋" w:eastAsia="仿宋" w:cs="仿宋"/>
                <w:b/>
                <w:bCs/>
                <w:color w:val="000000"/>
                <w:sz w:val="22"/>
                <w:szCs w:val="22"/>
              </w:rPr>
            </w:pPr>
            <w:r>
              <w:rPr>
                <w:rFonts w:hint="eastAsia" w:ascii="仿宋" w:hAnsi="仿宋" w:eastAsia="仿宋" w:cs="仿宋"/>
                <w:b/>
                <w:bCs/>
                <w:color w:val="000000"/>
                <w:kern w:val="0"/>
                <w:sz w:val="22"/>
                <w:szCs w:val="22"/>
              </w:rPr>
              <w:t>项目名称</w:t>
            </w:r>
          </w:p>
        </w:tc>
        <w:tc>
          <w:tcPr>
            <w:tcW w:w="648" w:type="pct"/>
            <w:tcBorders>
              <w:top w:val="single" w:color="000000" w:sz="4" w:space="0"/>
              <w:left w:val="single" w:color="000000" w:sz="4" w:space="0"/>
              <w:bottom w:val="single" w:color="000000" w:sz="4" w:space="0"/>
              <w:right w:val="single" w:color="000000" w:sz="4" w:space="0"/>
            </w:tcBorders>
            <w:vAlign w:val="center"/>
          </w:tcPr>
          <w:p>
            <w:pPr>
              <w:keepNext/>
              <w:keepLines w:val="0"/>
              <w:pageBreakBefore w:val="0"/>
              <w:widowControl/>
              <w:kinsoku/>
              <w:wordWrap/>
              <w:overflowPunct/>
              <w:topLinePunct w:val="0"/>
              <w:autoSpaceDE/>
              <w:autoSpaceDN/>
              <w:bidi w:val="0"/>
              <w:adjustRightInd/>
              <w:snapToGrid/>
              <w:spacing w:line="240" w:lineRule="auto"/>
              <w:jc w:val="center"/>
              <w:textAlignment w:val="center"/>
              <w:rPr>
                <w:rFonts w:ascii="仿宋" w:hAnsi="仿宋" w:eastAsia="仿宋" w:cs="仿宋"/>
                <w:b/>
                <w:bCs/>
                <w:color w:val="000000"/>
                <w:sz w:val="22"/>
                <w:szCs w:val="22"/>
              </w:rPr>
            </w:pPr>
            <w:r>
              <w:rPr>
                <w:rFonts w:hint="eastAsia" w:ascii="仿宋" w:hAnsi="仿宋" w:eastAsia="仿宋" w:cs="仿宋"/>
                <w:b/>
                <w:bCs/>
                <w:color w:val="000000"/>
                <w:kern w:val="0"/>
                <w:sz w:val="22"/>
                <w:szCs w:val="22"/>
              </w:rPr>
              <w:t>效益指标</w:t>
            </w:r>
          </w:p>
        </w:tc>
        <w:tc>
          <w:tcPr>
            <w:tcW w:w="980" w:type="pct"/>
            <w:tcBorders>
              <w:top w:val="single" w:color="000000" w:sz="4" w:space="0"/>
              <w:left w:val="single" w:color="000000" w:sz="4" w:space="0"/>
              <w:bottom w:val="single" w:color="000000" w:sz="4" w:space="0"/>
              <w:right w:val="single" w:color="000000" w:sz="4" w:space="0"/>
            </w:tcBorders>
            <w:vAlign w:val="center"/>
          </w:tcPr>
          <w:p>
            <w:pPr>
              <w:keepNext/>
              <w:keepLines w:val="0"/>
              <w:pageBreakBefore w:val="0"/>
              <w:widowControl/>
              <w:kinsoku/>
              <w:wordWrap/>
              <w:overflowPunct/>
              <w:topLinePunct w:val="0"/>
              <w:autoSpaceDE/>
              <w:autoSpaceDN/>
              <w:bidi w:val="0"/>
              <w:adjustRightInd/>
              <w:snapToGrid/>
              <w:spacing w:line="240" w:lineRule="auto"/>
              <w:jc w:val="center"/>
              <w:textAlignment w:val="center"/>
              <w:rPr>
                <w:rFonts w:ascii="仿宋" w:hAnsi="仿宋" w:eastAsia="仿宋" w:cs="仿宋"/>
                <w:b/>
                <w:bCs/>
                <w:color w:val="000000"/>
                <w:sz w:val="22"/>
                <w:szCs w:val="22"/>
              </w:rPr>
            </w:pPr>
            <w:r>
              <w:rPr>
                <w:rFonts w:hint="eastAsia" w:ascii="仿宋" w:hAnsi="仿宋" w:eastAsia="仿宋" w:cs="仿宋"/>
                <w:b/>
                <w:bCs/>
                <w:color w:val="000000"/>
                <w:kern w:val="0"/>
                <w:sz w:val="22"/>
                <w:szCs w:val="22"/>
              </w:rPr>
              <w:t>目标值</w:t>
            </w:r>
          </w:p>
        </w:tc>
        <w:tc>
          <w:tcPr>
            <w:tcW w:w="656" w:type="pct"/>
            <w:tcBorders>
              <w:top w:val="single" w:color="000000" w:sz="4" w:space="0"/>
              <w:left w:val="single" w:color="000000" w:sz="4" w:space="0"/>
              <w:bottom w:val="single" w:color="000000" w:sz="4" w:space="0"/>
              <w:right w:val="single" w:color="000000" w:sz="4" w:space="0"/>
            </w:tcBorders>
            <w:vAlign w:val="center"/>
          </w:tcPr>
          <w:p>
            <w:pPr>
              <w:keepNext/>
              <w:keepLines w:val="0"/>
              <w:pageBreakBefore w:val="0"/>
              <w:widowControl/>
              <w:kinsoku/>
              <w:wordWrap/>
              <w:overflowPunct/>
              <w:topLinePunct w:val="0"/>
              <w:autoSpaceDE/>
              <w:autoSpaceDN/>
              <w:bidi w:val="0"/>
              <w:adjustRightInd/>
              <w:snapToGrid/>
              <w:spacing w:line="240" w:lineRule="auto"/>
              <w:jc w:val="center"/>
              <w:textAlignment w:val="center"/>
              <w:rPr>
                <w:rFonts w:ascii="仿宋" w:hAnsi="仿宋" w:eastAsia="仿宋" w:cs="仿宋"/>
                <w:b/>
                <w:bCs/>
                <w:color w:val="000000"/>
                <w:sz w:val="22"/>
                <w:szCs w:val="22"/>
              </w:rPr>
            </w:pPr>
            <w:r>
              <w:rPr>
                <w:rFonts w:hint="eastAsia" w:ascii="仿宋" w:hAnsi="仿宋" w:eastAsia="仿宋" w:cs="仿宋"/>
                <w:b/>
                <w:bCs/>
                <w:color w:val="000000"/>
                <w:kern w:val="0"/>
                <w:sz w:val="22"/>
                <w:szCs w:val="22"/>
              </w:rPr>
              <w:t>完成值</w:t>
            </w:r>
          </w:p>
        </w:tc>
        <w:tc>
          <w:tcPr>
            <w:tcW w:w="648" w:type="pct"/>
            <w:tcBorders>
              <w:top w:val="single" w:color="000000" w:sz="4" w:space="0"/>
              <w:left w:val="single" w:color="000000" w:sz="4" w:space="0"/>
              <w:bottom w:val="single" w:color="000000" w:sz="4" w:space="0"/>
              <w:right w:val="single" w:color="000000" w:sz="4" w:space="0"/>
            </w:tcBorders>
            <w:vAlign w:val="center"/>
          </w:tcPr>
          <w:p>
            <w:pPr>
              <w:keepNext/>
              <w:keepLines w:val="0"/>
              <w:pageBreakBefore w:val="0"/>
              <w:widowControl/>
              <w:kinsoku/>
              <w:wordWrap/>
              <w:overflowPunct/>
              <w:topLinePunct w:val="0"/>
              <w:autoSpaceDE/>
              <w:autoSpaceDN/>
              <w:bidi w:val="0"/>
              <w:adjustRightInd/>
              <w:snapToGrid/>
              <w:spacing w:line="240" w:lineRule="auto"/>
              <w:jc w:val="center"/>
              <w:textAlignment w:val="center"/>
              <w:rPr>
                <w:rFonts w:ascii="仿宋" w:hAnsi="仿宋" w:eastAsia="仿宋" w:cs="仿宋"/>
                <w:b/>
                <w:bCs/>
                <w:color w:val="000000"/>
                <w:sz w:val="22"/>
                <w:szCs w:val="22"/>
              </w:rPr>
            </w:pPr>
            <w:r>
              <w:rPr>
                <w:rFonts w:hint="eastAsia" w:ascii="仿宋" w:hAnsi="仿宋" w:eastAsia="仿宋" w:cs="仿宋"/>
                <w:b/>
                <w:bCs/>
                <w:color w:val="000000"/>
                <w:sz w:val="22"/>
                <w:szCs w:val="22"/>
              </w:rPr>
              <w:t>是否完成</w:t>
            </w:r>
          </w:p>
        </w:tc>
        <w:tc>
          <w:tcPr>
            <w:tcW w:w="657" w:type="pct"/>
            <w:tcBorders>
              <w:top w:val="single" w:color="000000" w:sz="4" w:space="0"/>
              <w:left w:val="single" w:color="000000" w:sz="4" w:space="0"/>
              <w:bottom w:val="single" w:color="000000" w:sz="4" w:space="0"/>
              <w:right w:val="single" w:color="000000" w:sz="4" w:space="0"/>
            </w:tcBorders>
            <w:vAlign w:val="center"/>
          </w:tcPr>
          <w:p>
            <w:pPr>
              <w:keepNext/>
              <w:keepLines w:val="0"/>
              <w:pageBreakBefore w:val="0"/>
              <w:widowControl/>
              <w:kinsoku/>
              <w:wordWrap/>
              <w:overflowPunct/>
              <w:topLinePunct w:val="0"/>
              <w:autoSpaceDE/>
              <w:autoSpaceDN/>
              <w:bidi w:val="0"/>
              <w:adjustRightInd/>
              <w:snapToGrid/>
              <w:spacing w:line="240" w:lineRule="auto"/>
              <w:jc w:val="center"/>
              <w:textAlignment w:val="center"/>
              <w:rPr>
                <w:rFonts w:ascii="仿宋" w:hAnsi="仿宋" w:eastAsia="仿宋" w:cs="仿宋"/>
                <w:b/>
                <w:bCs/>
                <w:color w:val="000000"/>
                <w:sz w:val="22"/>
                <w:szCs w:val="22"/>
              </w:rPr>
            </w:pPr>
            <w:r>
              <w:rPr>
                <w:rFonts w:hint="eastAsia" w:ascii="仿宋" w:hAnsi="仿宋" w:eastAsia="仿宋" w:cs="仿宋"/>
                <w:b/>
                <w:bCs/>
                <w:color w:val="000000"/>
                <w:kern w:val="0"/>
                <w:sz w:val="22"/>
                <w:szCs w:val="22"/>
              </w:rPr>
              <w:t>数据来源</w:t>
            </w:r>
          </w:p>
        </w:tc>
      </w:tr>
      <w:tr>
        <w:tblPrEx>
          <w:tblCellMar>
            <w:top w:w="0" w:type="dxa"/>
            <w:left w:w="108" w:type="dxa"/>
            <w:bottom w:w="0" w:type="dxa"/>
            <w:right w:w="108" w:type="dxa"/>
          </w:tblCellMar>
        </w:tblPrEx>
        <w:trPr>
          <w:trHeight w:val="1182" w:hRule="atLeast"/>
          <w:jc w:val="center"/>
        </w:trPr>
        <w:tc>
          <w:tcPr>
            <w:tcW w:w="648" w:type="pct"/>
            <w:tcBorders>
              <w:top w:val="single" w:color="000000" w:sz="4" w:space="0"/>
              <w:left w:val="single" w:color="000000" w:sz="4" w:space="0"/>
              <w:bottom w:val="single" w:color="000000" w:sz="4" w:space="0"/>
              <w:right w:val="single" w:color="000000" w:sz="4" w:space="0"/>
            </w:tcBorders>
            <w:vAlign w:val="center"/>
          </w:tcPr>
          <w:p>
            <w:pPr>
              <w:keepNext/>
              <w:keepLines w:val="0"/>
              <w:pageBreakBefore w:val="0"/>
              <w:widowControl/>
              <w:kinsoku/>
              <w:wordWrap/>
              <w:overflowPunct/>
              <w:topLinePunct w:val="0"/>
              <w:autoSpaceDE/>
              <w:autoSpaceDN/>
              <w:bidi w:val="0"/>
              <w:adjustRightInd/>
              <w:snapToGrid/>
              <w:spacing w:line="240" w:lineRule="auto"/>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1</w:t>
            </w:r>
          </w:p>
        </w:tc>
        <w:tc>
          <w:tcPr>
            <w:tcW w:w="761" w:type="pct"/>
            <w:tcBorders>
              <w:top w:val="single" w:color="000000" w:sz="4" w:space="0"/>
              <w:left w:val="single" w:color="000000" w:sz="4" w:space="0"/>
              <w:bottom w:val="single" w:color="000000" w:sz="4" w:space="0"/>
              <w:right w:val="single" w:color="000000" w:sz="4" w:space="0"/>
            </w:tcBorders>
            <w:vAlign w:val="center"/>
          </w:tcPr>
          <w:p>
            <w:pPr>
              <w:keepNext/>
              <w:keepLines w:val="0"/>
              <w:pageBreakBefore w:val="0"/>
              <w:widowControl/>
              <w:kinsoku/>
              <w:wordWrap/>
              <w:overflowPunct/>
              <w:topLinePunct w:val="0"/>
              <w:autoSpaceDE/>
              <w:autoSpaceDN/>
              <w:bidi w:val="0"/>
              <w:adjustRightInd/>
              <w:snapToGrid/>
              <w:spacing w:line="240" w:lineRule="auto"/>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120指挥调度系统运行经费</w:t>
            </w:r>
          </w:p>
        </w:tc>
        <w:tc>
          <w:tcPr>
            <w:tcW w:w="648" w:type="pct"/>
            <w:tcBorders>
              <w:top w:val="single" w:color="000000" w:sz="4" w:space="0"/>
              <w:left w:val="single" w:color="000000" w:sz="4" w:space="0"/>
              <w:bottom w:val="single" w:color="000000" w:sz="4" w:space="0"/>
              <w:right w:val="single" w:color="000000" w:sz="4" w:space="0"/>
            </w:tcBorders>
            <w:vAlign w:val="center"/>
          </w:tcPr>
          <w:p>
            <w:pPr>
              <w:keepNext/>
              <w:keepLines w:val="0"/>
              <w:pageBreakBefore w:val="0"/>
              <w:widowControl/>
              <w:kinsoku/>
              <w:wordWrap/>
              <w:overflowPunct/>
              <w:topLinePunct w:val="0"/>
              <w:autoSpaceDE/>
              <w:autoSpaceDN/>
              <w:bidi w:val="0"/>
              <w:adjustRightInd/>
              <w:snapToGrid/>
              <w:spacing w:line="240" w:lineRule="auto"/>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满足人民群众对120急救的需求</w:t>
            </w:r>
          </w:p>
        </w:tc>
        <w:tc>
          <w:tcPr>
            <w:tcW w:w="980" w:type="pct"/>
            <w:tcBorders>
              <w:top w:val="single" w:color="000000" w:sz="4" w:space="0"/>
              <w:left w:val="single" w:color="000000" w:sz="4" w:space="0"/>
              <w:bottom w:val="single" w:color="000000" w:sz="4" w:space="0"/>
              <w:right w:val="single" w:color="000000" w:sz="4" w:space="0"/>
            </w:tcBorders>
            <w:noWrap/>
            <w:vAlign w:val="center"/>
          </w:tcPr>
          <w:p>
            <w:pPr>
              <w:keepNext/>
              <w:keepLines w:val="0"/>
              <w:pageBreakBefore w:val="0"/>
              <w:widowControl/>
              <w:kinsoku/>
              <w:wordWrap/>
              <w:overflowPunct/>
              <w:topLinePunct w:val="0"/>
              <w:autoSpaceDE/>
              <w:autoSpaceDN/>
              <w:bidi w:val="0"/>
              <w:adjustRightInd/>
              <w:snapToGrid/>
              <w:spacing w:line="240" w:lineRule="auto"/>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≥98</w:t>
            </w:r>
            <w:r>
              <w:rPr>
                <w:rFonts w:hint="eastAsia" w:ascii="仿宋" w:hAnsi="仿宋" w:eastAsia="仿宋" w:cs="仿宋"/>
                <w:color w:val="000000"/>
                <w:kern w:val="0"/>
                <w:sz w:val="22"/>
                <w:szCs w:val="22"/>
              </w:rPr>
              <w:t>%</w:t>
            </w:r>
          </w:p>
        </w:tc>
        <w:tc>
          <w:tcPr>
            <w:tcW w:w="656" w:type="pct"/>
            <w:tcBorders>
              <w:top w:val="single" w:color="000000" w:sz="4" w:space="0"/>
              <w:left w:val="single" w:color="000000" w:sz="4" w:space="0"/>
              <w:bottom w:val="single" w:color="000000" w:sz="4" w:space="0"/>
              <w:right w:val="single" w:color="000000" w:sz="4" w:space="0"/>
            </w:tcBorders>
            <w:noWrap/>
            <w:vAlign w:val="center"/>
          </w:tcPr>
          <w:p>
            <w:pPr>
              <w:keepNext/>
              <w:keepLines w:val="0"/>
              <w:pageBreakBefore w:val="0"/>
              <w:widowControl/>
              <w:kinsoku/>
              <w:wordWrap/>
              <w:overflowPunct/>
              <w:topLinePunct w:val="0"/>
              <w:autoSpaceDE/>
              <w:autoSpaceDN/>
              <w:bidi w:val="0"/>
              <w:adjustRightInd/>
              <w:snapToGrid/>
              <w:spacing w:line="240" w:lineRule="auto"/>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98%</w:t>
            </w:r>
          </w:p>
        </w:tc>
        <w:tc>
          <w:tcPr>
            <w:tcW w:w="648" w:type="pct"/>
            <w:tcBorders>
              <w:top w:val="single" w:color="000000" w:sz="4" w:space="0"/>
              <w:left w:val="single" w:color="000000" w:sz="4" w:space="0"/>
              <w:bottom w:val="single" w:color="000000" w:sz="4" w:space="0"/>
              <w:right w:val="single" w:color="000000" w:sz="4" w:space="0"/>
            </w:tcBorders>
            <w:vAlign w:val="center"/>
          </w:tcPr>
          <w:p>
            <w:pPr>
              <w:keepNext/>
              <w:keepLines w:val="0"/>
              <w:pageBreakBefore w:val="0"/>
              <w:widowControl/>
              <w:kinsoku/>
              <w:wordWrap/>
              <w:overflowPunct/>
              <w:topLinePunct w:val="0"/>
              <w:autoSpaceDE/>
              <w:autoSpaceDN/>
              <w:bidi w:val="0"/>
              <w:adjustRightInd/>
              <w:snapToGrid/>
              <w:spacing w:line="240" w:lineRule="auto"/>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是</w:t>
            </w:r>
          </w:p>
        </w:tc>
        <w:tc>
          <w:tcPr>
            <w:tcW w:w="657" w:type="pct"/>
            <w:vMerge w:val="restart"/>
            <w:tcBorders>
              <w:top w:val="single" w:color="000000" w:sz="4" w:space="0"/>
              <w:left w:val="single" w:color="000000" w:sz="4" w:space="0"/>
              <w:right w:val="single" w:color="000000" w:sz="4" w:space="0"/>
            </w:tcBorders>
            <w:vAlign w:val="center"/>
          </w:tcPr>
          <w:p>
            <w:pPr>
              <w:keepNext/>
              <w:keepLines w:val="0"/>
              <w:pageBreakBefore w:val="0"/>
              <w:widowControl/>
              <w:kinsoku/>
              <w:wordWrap/>
              <w:overflowPunct/>
              <w:topLinePunct w:val="0"/>
              <w:autoSpaceDE/>
              <w:autoSpaceDN/>
              <w:bidi w:val="0"/>
              <w:adjustRightInd/>
              <w:snapToGrid/>
              <w:spacing w:line="240" w:lineRule="auto"/>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项目绩效目标申报表、支付凭证、项目绩效自评报告、验收报告等</w:t>
            </w:r>
          </w:p>
        </w:tc>
      </w:tr>
      <w:tr>
        <w:tblPrEx>
          <w:tblCellMar>
            <w:top w:w="0" w:type="dxa"/>
            <w:left w:w="108" w:type="dxa"/>
            <w:bottom w:w="0" w:type="dxa"/>
            <w:right w:w="108" w:type="dxa"/>
          </w:tblCellMar>
        </w:tblPrEx>
        <w:trPr>
          <w:trHeight w:val="1728" w:hRule="atLeast"/>
          <w:jc w:val="center"/>
        </w:trPr>
        <w:tc>
          <w:tcPr>
            <w:tcW w:w="648" w:type="pct"/>
            <w:tcBorders>
              <w:top w:val="single" w:color="000000" w:sz="4" w:space="0"/>
              <w:left w:val="single" w:color="000000" w:sz="4" w:space="0"/>
              <w:bottom w:val="single" w:color="000000" w:sz="4" w:space="0"/>
              <w:right w:val="single" w:color="000000" w:sz="4" w:space="0"/>
            </w:tcBorders>
            <w:vAlign w:val="center"/>
          </w:tcPr>
          <w:p>
            <w:pPr>
              <w:keepNext/>
              <w:keepLines w:val="0"/>
              <w:pageBreakBefore w:val="0"/>
              <w:widowControl/>
              <w:kinsoku/>
              <w:wordWrap/>
              <w:overflowPunct/>
              <w:topLinePunct w:val="0"/>
              <w:autoSpaceDE/>
              <w:autoSpaceDN/>
              <w:bidi w:val="0"/>
              <w:adjustRightInd/>
              <w:snapToGrid/>
              <w:spacing w:line="240" w:lineRule="auto"/>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2</w:t>
            </w:r>
          </w:p>
        </w:tc>
        <w:tc>
          <w:tcPr>
            <w:tcW w:w="761" w:type="pct"/>
            <w:tcBorders>
              <w:top w:val="single" w:color="000000" w:sz="4" w:space="0"/>
              <w:left w:val="single" w:color="000000" w:sz="4" w:space="0"/>
              <w:bottom w:val="single" w:color="000000" w:sz="4" w:space="0"/>
              <w:right w:val="single" w:color="000000" w:sz="4" w:space="0"/>
            </w:tcBorders>
            <w:vAlign w:val="center"/>
          </w:tcPr>
          <w:p>
            <w:pPr>
              <w:keepNext/>
              <w:keepLines w:val="0"/>
              <w:pageBreakBefore w:val="0"/>
              <w:widowControl/>
              <w:kinsoku/>
              <w:wordWrap/>
              <w:overflowPunct/>
              <w:topLinePunct w:val="0"/>
              <w:autoSpaceDE/>
              <w:autoSpaceDN/>
              <w:bidi w:val="0"/>
              <w:adjustRightInd/>
              <w:snapToGrid/>
              <w:spacing w:line="240" w:lineRule="auto"/>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120指挥调度系统运行经费</w:t>
            </w:r>
          </w:p>
        </w:tc>
        <w:tc>
          <w:tcPr>
            <w:tcW w:w="648" w:type="pct"/>
            <w:tcBorders>
              <w:top w:val="single" w:color="000000" w:sz="4" w:space="0"/>
              <w:left w:val="single" w:color="000000" w:sz="4" w:space="0"/>
              <w:bottom w:val="single" w:color="000000" w:sz="4" w:space="0"/>
              <w:right w:val="single" w:color="000000" w:sz="4" w:space="0"/>
            </w:tcBorders>
            <w:vAlign w:val="center"/>
          </w:tcPr>
          <w:p>
            <w:pPr>
              <w:keepNext/>
              <w:keepLines w:val="0"/>
              <w:pageBreakBefore w:val="0"/>
              <w:widowControl/>
              <w:kinsoku/>
              <w:wordWrap/>
              <w:overflowPunct/>
              <w:topLinePunct w:val="0"/>
              <w:autoSpaceDE/>
              <w:autoSpaceDN/>
              <w:bidi w:val="0"/>
              <w:adjustRightInd/>
              <w:snapToGrid/>
              <w:spacing w:line="240" w:lineRule="auto"/>
              <w:jc w:val="center"/>
              <w:textAlignment w:val="center"/>
              <w:rPr>
                <w:rFonts w:ascii="宋体" w:hAnsi="宋体" w:cs="宋体"/>
                <w:color w:val="000000"/>
                <w:sz w:val="18"/>
                <w:szCs w:val="18"/>
              </w:rPr>
            </w:pPr>
            <w:r>
              <w:rPr>
                <w:rFonts w:ascii="宋体" w:hAnsi="宋体" w:cs="宋体"/>
                <w:color w:val="000000"/>
                <w:kern w:val="0"/>
                <w:sz w:val="18"/>
                <w:szCs w:val="18"/>
              </w:rPr>
              <w:t>影响年限</w:t>
            </w:r>
          </w:p>
        </w:tc>
        <w:tc>
          <w:tcPr>
            <w:tcW w:w="980" w:type="pct"/>
            <w:tcBorders>
              <w:top w:val="single" w:color="000000" w:sz="4" w:space="0"/>
              <w:left w:val="single" w:color="000000" w:sz="4" w:space="0"/>
              <w:bottom w:val="single" w:color="000000" w:sz="4" w:space="0"/>
              <w:right w:val="single" w:color="000000" w:sz="4" w:space="0"/>
            </w:tcBorders>
            <w:noWrap/>
            <w:vAlign w:val="center"/>
          </w:tcPr>
          <w:p>
            <w:pPr>
              <w:keepNext/>
              <w:keepLines w:val="0"/>
              <w:pageBreakBefore w:val="0"/>
              <w:widowControl/>
              <w:kinsoku/>
              <w:wordWrap/>
              <w:overflowPunct/>
              <w:topLinePunct w:val="0"/>
              <w:autoSpaceDE/>
              <w:autoSpaceDN/>
              <w:bidi w:val="0"/>
              <w:adjustRightInd/>
              <w:snapToGrid/>
              <w:spacing w:line="240" w:lineRule="auto"/>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≥3年</w:t>
            </w:r>
          </w:p>
        </w:tc>
        <w:tc>
          <w:tcPr>
            <w:tcW w:w="656" w:type="pct"/>
            <w:tcBorders>
              <w:top w:val="single" w:color="000000" w:sz="4" w:space="0"/>
              <w:left w:val="single" w:color="000000" w:sz="4" w:space="0"/>
              <w:bottom w:val="single" w:color="000000" w:sz="4" w:space="0"/>
              <w:right w:val="single" w:color="000000" w:sz="4" w:space="0"/>
            </w:tcBorders>
            <w:noWrap/>
            <w:vAlign w:val="center"/>
          </w:tcPr>
          <w:p>
            <w:pPr>
              <w:keepNext/>
              <w:keepLines w:val="0"/>
              <w:pageBreakBefore w:val="0"/>
              <w:widowControl/>
              <w:kinsoku/>
              <w:wordWrap/>
              <w:overflowPunct/>
              <w:topLinePunct w:val="0"/>
              <w:autoSpaceDE/>
              <w:autoSpaceDN/>
              <w:bidi w:val="0"/>
              <w:adjustRightInd/>
              <w:snapToGrid/>
              <w:spacing w:line="240" w:lineRule="auto"/>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100%</w:t>
            </w:r>
          </w:p>
        </w:tc>
        <w:tc>
          <w:tcPr>
            <w:tcW w:w="648" w:type="pct"/>
            <w:tcBorders>
              <w:top w:val="single" w:color="000000" w:sz="4" w:space="0"/>
              <w:left w:val="single" w:color="000000" w:sz="4" w:space="0"/>
              <w:bottom w:val="single" w:color="000000" w:sz="4" w:space="0"/>
              <w:right w:val="single" w:color="000000" w:sz="4" w:space="0"/>
            </w:tcBorders>
            <w:vAlign w:val="center"/>
          </w:tcPr>
          <w:p>
            <w:pPr>
              <w:keepNext/>
              <w:keepLines w:val="0"/>
              <w:pageBreakBefore w:val="0"/>
              <w:widowControl/>
              <w:kinsoku/>
              <w:wordWrap/>
              <w:overflowPunct/>
              <w:topLinePunct w:val="0"/>
              <w:autoSpaceDE/>
              <w:autoSpaceDN/>
              <w:bidi w:val="0"/>
              <w:adjustRightInd/>
              <w:snapToGrid/>
              <w:spacing w:line="240" w:lineRule="auto"/>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是</w:t>
            </w:r>
          </w:p>
        </w:tc>
        <w:tc>
          <w:tcPr>
            <w:tcW w:w="657" w:type="pct"/>
            <w:vMerge w:val="continue"/>
            <w:tcBorders>
              <w:left w:val="single" w:color="000000" w:sz="4" w:space="0"/>
              <w:right w:val="single" w:color="000000" w:sz="4" w:space="0"/>
            </w:tcBorders>
            <w:vAlign w:val="center"/>
          </w:tcPr>
          <w:p>
            <w:pPr>
              <w:keepNext/>
              <w:keepLines w:val="0"/>
              <w:pageBreakBefore w:val="0"/>
              <w:kinsoku/>
              <w:wordWrap/>
              <w:overflowPunct/>
              <w:topLinePunct w:val="0"/>
              <w:autoSpaceDE/>
              <w:autoSpaceDN/>
              <w:bidi w:val="0"/>
              <w:adjustRightInd/>
              <w:snapToGrid/>
              <w:spacing w:line="240" w:lineRule="auto"/>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1728" w:hRule="atLeast"/>
          <w:jc w:val="center"/>
        </w:trPr>
        <w:tc>
          <w:tcPr>
            <w:tcW w:w="648" w:type="pct"/>
            <w:tcBorders>
              <w:top w:val="single" w:color="000000" w:sz="4" w:space="0"/>
              <w:left w:val="single" w:color="000000" w:sz="4" w:space="0"/>
              <w:bottom w:val="single" w:color="000000" w:sz="4" w:space="0"/>
              <w:right w:val="single" w:color="000000" w:sz="4" w:space="0"/>
            </w:tcBorders>
            <w:vAlign w:val="center"/>
          </w:tcPr>
          <w:p>
            <w:pPr>
              <w:keepNext/>
              <w:keepLines w:val="0"/>
              <w:pageBreakBefore w:val="0"/>
              <w:widowControl/>
              <w:kinsoku/>
              <w:wordWrap/>
              <w:overflowPunct/>
              <w:topLinePunct w:val="0"/>
              <w:autoSpaceDE/>
              <w:autoSpaceDN/>
              <w:bidi w:val="0"/>
              <w:adjustRightInd/>
              <w:snapToGrid/>
              <w:spacing w:line="240" w:lineRule="auto"/>
              <w:jc w:val="center"/>
              <w:textAlignment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3</w:t>
            </w:r>
          </w:p>
        </w:tc>
        <w:tc>
          <w:tcPr>
            <w:tcW w:w="761" w:type="pct"/>
            <w:tcBorders>
              <w:top w:val="single" w:color="000000" w:sz="4" w:space="0"/>
              <w:left w:val="single" w:color="000000" w:sz="4" w:space="0"/>
              <w:bottom w:val="single" w:color="000000" w:sz="4" w:space="0"/>
              <w:right w:val="single" w:color="000000" w:sz="4" w:space="0"/>
            </w:tcBorders>
            <w:vAlign w:val="center"/>
          </w:tcPr>
          <w:p>
            <w:pPr>
              <w:keepNext/>
              <w:keepLines w:val="0"/>
              <w:pageBreakBefore w:val="0"/>
              <w:widowControl/>
              <w:kinsoku/>
              <w:wordWrap/>
              <w:overflowPunct/>
              <w:topLinePunct w:val="0"/>
              <w:autoSpaceDE/>
              <w:autoSpaceDN/>
              <w:bidi w:val="0"/>
              <w:adjustRightInd/>
              <w:snapToGrid/>
              <w:spacing w:line="240" w:lineRule="auto"/>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中医药传承创新</w:t>
            </w:r>
          </w:p>
        </w:tc>
        <w:tc>
          <w:tcPr>
            <w:tcW w:w="648" w:type="pct"/>
            <w:tcBorders>
              <w:top w:val="single" w:color="000000" w:sz="4" w:space="0"/>
              <w:left w:val="single" w:color="000000" w:sz="4" w:space="0"/>
              <w:bottom w:val="single" w:color="000000" w:sz="4" w:space="0"/>
              <w:right w:val="single" w:color="000000" w:sz="4" w:space="0"/>
            </w:tcBorders>
            <w:vAlign w:val="center"/>
          </w:tcPr>
          <w:p>
            <w:pPr>
              <w:keepNext/>
              <w:keepLines w:val="0"/>
              <w:pageBreakBefore w:val="0"/>
              <w:widowControl/>
              <w:kinsoku/>
              <w:wordWrap/>
              <w:overflowPunct/>
              <w:topLinePunct w:val="0"/>
              <w:autoSpaceDE/>
              <w:autoSpaceDN/>
              <w:bidi w:val="0"/>
              <w:adjustRightInd/>
              <w:snapToGrid/>
              <w:spacing w:line="240" w:lineRule="auto"/>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中医药院前急救平均反应时间较上年度提升</w:t>
            </w:r>
          </w:p>
        </w:tc>
        <w:tc>
          <w:tcPr>
            <w:tcW w:w="980" w:type="pct"/>
            <w:tcBorders>
              <w:top w:val="single" w:color="000000" w:sz="4" w:space="0"/>
              <w:left w:val="single" w:color="000000" w:sz="4" w:space="0"/>
              <w:bottom w:val="single" w:color="000000" w:sz="4" w:space="0"/>
              <w:right w:val="single" w:color="000000" w:sz="4" w:space="0"/>
            </w:tcBorders>
            <w:noWrap/>
            <w:vAlign w:val="center"/>
          </w:tcPr>
          <w:p>
            <w:pPr>
              <w:keepNext/>
              <w:keepLines w:val="0"/>
              <w:pageBreakBefore w:val="0"/>
              <w:widowControl/>
              <w:kinsoku/>
              <w:wordWrap/>
              <w:overflowPunct/>
              <w:topLinePunct w:val="0"/>
              <w:autoSpaceDE/>
              <w:autoSpaceDN/>
              <w:bidi w:val="0"/>
              <w:adjustRightInd/>
              <w:snapToGrid/>
              <w:spacing w:line="240" w:lineRule="auto"/>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≥5%</w:t>
            </w:r>
          </w:p>
        </w:tc>
        <w:tc>
          <w:tcPr>
            <w:tcW w:w="656" w:type="pct"/>
            <w:tcBorders>
              <w:top w:val="single" w:color="000000" w:sz="4" w:space="0"/>
              <w:left w:val="single" w:color="000000" w:sz="4" w:space="0"/>
              <w:bottom w:val="single" w:color="000000" w:sz="4" w:space="0"/>
              <w:right w:val="single" w:color="000000" w:sz="4" w:space="0"/>
            </w:tcBorders>
            <w:noWrap/>
            <w:vAlign w:val="center"/>
          </w:tcPr>
          <w:p>
            <w:pPr>
              <w:pStyle w:val="2"/>
              <w:keepNext/>
              <w:keepLines w:val="0"/>
              <w:pageBreakBefore w:val="0"/>
              <w:kinsoku/>
              <w:wordWrap/>
              <w:overflowPunct/>
              <w:topLinePunct w:val="0"/>
              <w:autoSpaceDE/>
              <w:autoSpaceDN/>
              <w:bidi w:val="0"/>
              <w:adjustRightInd/>
              <w:snapToGrid/>
              <w:spacing w:line="240" w:lineRule="auto"/>
              <w:ind w:firstLine="440" w:firstLineChars="200"/>
            </w:pPr>
            <w:r>
              <w:rPr>
                <w:rFonts w:hint="eastAsia" w:ascii="仿宋" w:hAnsi="仿宋" w:eastAsia="仿宋" w:cs="仿宋"/>
                <w:color w:val="000000"/>
                <w:kern w:val="0"/>
                <w:sz w:val="22"/>
                <w:szCs w:val="22"/>
              </w:rPr>
              <w:t>5%</w:t>
            </w:r>
          </w:p>
        </w:tc>
        <w:tc>
          <w:tcPr>
            <w:tcW w:w="648" w:type="pct"/>
            <w:tcBorders>
              <w:top w:val="single" w:color="000000" w:sz="4" w:space="0"/>
              <w:left w:val="single" w:color="000000" w:sz="4" w:space="0"/>
              <w:bottom w:val="single" w:color="000000" w:sz="4" w:space="0"/>
              <w:right w:val="single" w:color="000000" w:sz="4" w:space="0"/>
            </w:tcBorders>
            <w:vAlign w:val="center"/>
          </w:tcPr>
          <w:p>
            <w:pPr>
              <w:keepNext/>
              <w:keepLines w:val="0"/>
              <w:pageBreakBefore w:val="0"/>
              <w:widowControl/>
              <w:kinsoku/>
              <w:wordWrap/>
              <w:overflowPunct/>
              <w:topLinePunct w:val="0"/>
              <w:autoSpaceDE/>
              <w:autoSpaceDN/>
              <w:bidi w:val="0"/>
              <w:adjustRightInd/>
              <w:snapToGrid/>
              <w:spacing w:line="240" w:lineRule="auto"/>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是</w:t>
            </w:r>
          </w:p>
        </w:tc>
        <w:tc>
          <w:tcPr>
            <w:tcW w:w="657" w:type="pct"/>
            <w:vMerge w:val="continue"/>
            <w:tcBorders>
              <w:left w:val="single" w:color="000000" w:sz="4" w:space="0"/>
              <w:right w:val="single" w:color="000000" w:sz="4" w:space="0"/>
            </w:tcBorders>
            <w:vAlign w:val="center"/>
          </w:tcPr>
          <w:p>
            <w:pPr>
              <w:keepNext/>
              <w:keepLines w:val="0"/>
              <w:pageBreakBefore w:val="0"/>
              <w:widowControl/>
              <w:kinsoku/>
              <w:wordWrap/>
              <w:overflowPunct/>
              <w:topLinePunct w:val="0"/>
              <w:autoSpaceDE/>
              <w:autoSpaceDN/>
              <w:bidi w:val="0"/>
              <w:adjustRightInd/>
              <w:snapToGrid/>
              <w:spacing w:line="240" w:lineRule="auto"/>
              <w:jc w:val="center"/>
              <w:textAlignment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1728" w:hRule="atLeast"/>
          <w:jc w:val="center"/>
        </w:trPr>
        <w:tc>
          <w:tcPr>
            <w:tcW w:w="648" w:type="pct"/>
            <w:tcBorders>
              <w:top w:val="single" w:color="000000" w:sz="4" w:space="0"/>
              <w:left w:val="single" w:color="000000" w:sz="4" w:space="0"/>
              <w:bottom w:val="single" w:color="000000" w:sz="4" w:space="0"/>
              <w:right w:val="single" w:color="000000" w:sz="4" w:space="0"/>
            </w:tcBorders>
            <w:vAlign w:val="center"/>
          </w:tcPr>
          <w:p>
            <w:pPr>
              <w:keepNext/>
              <w:keepLines w:val="0"/>
              <w:pageBreakBefore w:val="0"/>
              <w:widowControl/>
              <w:kinsoku/>
              <w:wordWrap/>
              <w:overflowPunct/>
              <w:topLinePunct w:val="0"/>
              <w:autoSpaceDE/>
              <w:autoSpaceDN/>
              <w:bidi w:val="0"/>
              <w:adjustRightInd/>
              <w:snapToGrid/>
              <w:spacing w:line="240" w:lineRule="auto"/>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4</w:t>
            </w:r>
          </w:p>
        </w:tc>
        <w:tc>
          <w:tcPr>
            <w:tcW w:w="761" w:type="pct"/>
            <w:tcBorders>
              <w:top w:val="single" w:color="000000" w:sz="4" w:space="0"/>
              <w:left w:val="single" w:color="000000" w:sz="4" w:space="0"/>
              <w:bottom w:val="single" w:color="000000" w:sz="4" w:space="0"/>
              <w:right w:val="single" w:color="000000" w:sz="4" w:space="0"/>
            </w:tcBorders>
            <w:vAlign w:val="center"/>
          </w:tcPr>
          <w:p>
            <w:pPr>
              <w:keepNext/>
              <w:keepLines w:val="0"/>
              <w:pageBreakBefore w:val="0"/>
              <w:widowControl/>
              <w:kinsoku/>
              <w:wordWrap/>
              <w:overflowPunct/>
              <w:topLinePunct w:val="0"/>
              <w:autoSpaceDE/>
              <w:autoSpaceDN/>
              <w:bidi w:val="0"/>
              <w:adjustRightInd/>
              <w:snapToGrid/>
              <w:spacing w:line="240" w:lineRule="auto"/>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中医药传承创新</w:t>
            </w:r>
          </w:p>
        </w:tc>
        <w:tc>
          <w:tcPr>
            <w:tcW w:w="648" w:type="pct"/>
            <w:tcBorders>
              <w:top w:val="single" w:color="000000" w:sz="4" w:space="0"/>
              <w:left w:val="single" w:color="000000" w:sz="4" w:space="0"/>
              <w:bottom w:val="single" w:color="000000" w:sz="4" w:space="0"/>
              <w:right w:val="single" w:color="000000" w:sz="4" w:space="0"/>
            </w:tcBorders>
            <w:vAlign w:val="center"/>
          </w:tcPr>
          <w:p>
            <w:pPr>
              <w:keepNext/>
              <w:keepLines w:val="0"/>
              <w:pageBreakBefore w:val="0"/>
              <w:widowControl/>
              <w:kinsoku/>
              <w:wordWrap/>
              <w:overflowPunct/>
              <w:topLinePunct w:val="0"/>
              <w:autoSpaceDE/>
              <w:autoSpaceDN/>
              <w:bidi w:val="0"/>
              <w:adjustRightInd/>
              <w:snapToGrid/>
              <w:spacing w:line="240" w:lineRule="auto"/>
              <w:jc w:val="center"/>
              <w:textAlignment w:val="center"/>
              <w:rPr>
                <w:rFonts w:ascii="宋体" w:hAnsi="宋体" w:cs="宋体"/>
                <w:color w:val="000000"/>
                <w:sz w:val="18"/>
                <w:szCs w:val="18"/>
              </w:rPr>
            </w:pPr>
            <w:r>
              <w:rPr>
                <w:rFonts w:hint="eastAsia" w:ascii="仿宋" w:hAnsi="仿宋" w:eastAsia="仿宋" w:cs="仿宋"/>
                <w:color w:val="000000"/>
                <w:sz w:val="22"/>
                <w:szCs w:val="22"/>
              </w:rPr>
              <w:t>中医药网络医院院内</w:t>
            </w:r>
            <w:r>
              <w:rPr>
                <w:rFonts w:ascii="宋体" w:hAnsi="宋体" w:cs="宋体"/>
                <w:color w:val="000000"/>
                <w:kern w:val="0"/>
                <w:sz w:val="18"/>
                <w:szCs w:val="18"/>
              </w:rPr>
              <w:t>危重患者抢救成功率</w:t>
            </w:r>
          </w:p>
        </w:tc>
        <w:tc>
          <w:tcPr>
            <w:tcW w:w="980" w:type="pct"/>
            <w:tcBorders>
              <w:top w:val="single" w:color="000000" w:sz="4" w:space="0"/>
              <w:left w:val="single" w:color="000000" w:sz="4" w:space="0"/>
              <w:bottom w:val="single" w:color="000000" w:sz="4" w:space="0"/>
              <w:right w:val="single" w:color="000000" w:sz="4" w:space="0"/>
            </w:tcBorders>
            <w:noWrap/>
            <w:vAlign w:val="center"/>
          </w:tcPr>
          <w:p>
            <w:pPr>
              <w:keepNext/>
              <w:keepLines w:val="0"/>
              <w:pageBreakBefore w:val="0"/>
              <w:widowControl/>
              <w:kinsoku/>
              <w:wordWrap/>
              <w:overflowPunct/>
              <w:topLinePunct w:val="0"/>
              <w:autoSpaceDE/>
              <w:autoSpaceDN/>
              <w:bidi w:val="0"/>
              <w:adjustRightInd/>
              <w:snapToGrid/>
              <w:spacing w:line="240" w:lineRule="auto"/>
              <w:jc w:val="center"/>
              <w:textAlignment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≥10%</w:t>
            </w:r>
          </w:p>
        </w:tc>
        <w:tc>
          <w:tcPr>
            <w:tcW w:w="656" w:type="pct"/>
            <w:tcBorders>
              <w:top w:val="single" w:color="000000" w:sz="4" w:space="0"/>
              <w:left w:val="single" w:color="000000" w:sz="4" w:space="0"/>
              <w:bottom w:val="single" w:color="000000" w:sz="4" w:space="0"/>
              <w:right w:val="single" w:color="000000" w:sz="4" w:space="0"/>
            </w:tcBorders>
            <w:noWrap/>
            <w:vAlign w:val="center"/>
          </w:tcPr>
          <w:p>
            <w:pPr>
              <w:keepNext/>
              <w:keepLines w:val="0"/>
              <w:pageBreakBefore w:val="0"/>
              <w:widowControl/>
              <w:kinsoku/>
              <w:wordWrap/>
              <w:overflowPunct/>
              <w:topLinePunct w:val="0"/>
              <w:autoSpaceDE/>
              <w:autoSpaceDN/>
              <w:bidi w:val="0"/>
              <w:adjustRightInd/>
              <w:snapToGrid/>
              <w:spacing w:line="240" w:lineRule="auto"/>
              <w:jc w:val="center"/>
              <w:textAlignment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10%</w:t>
            </w:r>
          </w:p>
        </w:tc>
        <w:tc>
          <w:tcPr>
            <w:tcW w:w="648" w:type="pct"/>
            <w:tcBorders>
              <w:top w:val="single" w:color="000000" w:sz="4" w:space="0"/>
              <w:left w:val="single" w:color="000000" w:sz="4" w:space="0"/>
              <w:bottom w:val="single" w:color="000000" w:sz="4" w:space="0"/>
              <w:right w:val="single" w:color="000000" w:sz="4" w:space="0"/>
            </w:tcBorders>
            <w:vAlign w:val="center"/>
          </w:tcPr>
          <w:p>
            <w:pPr>
              <w:keepNext/>
              <w:keepLines w:val="0"/>
              <w:pageBreakBefore w:val="0"/>
              <w:widowControl/>
              <w:kinsoku/>
              <w:wordWrap/>
              <w:overflowPunct/>
              <w:topLinePunct w:val="0"/>
              <w:autoSpaceDE/>
              <w:autoSpaceDN/>
              <w:bidi w:val="0"/>
              <w:adjustRightInd/>
              <w:snapToGrid/>
              <w:spacing w:line="240" w:lineRule="auto"/>
              <w:jc w:val="center"/>
              <w:textAlignment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是</w:t>
            </w:r>
          </w:p>
        </w:tc>
        <w:tc>
          <w:tcPr>
            <w:tcW w:w="657" w:type="pct"/>
            <w:vMerge w:val="continue"/>
            <w:tcBorders>
              <w:left w:val="single" w:color="000000" w:sz="4" w:space="0"/>
              <w:bottom w:val="single" w:color="000000" w:sz="4" w:space="0"/>
              <w:right w:val="single" w:color="000000" w:sz="4" w:space="0"/>
            </w:tcBorders>
            <w:vAlign w:val="center"/>
          </w:tcPr>
          <w:p>
            <w:pPr>
              <w:keepNext/>
              <w:keepLines w:val="0"/>
              <w:pageBreakBefore w:val="0"/>
              <w:kinsoku/>
              <w:wordWrap/>
              <w:overflowPunct/>
              <w:topLinePunct w:val="0"/>
              <w:autoSpaceDE/>
              <w:autoSpaceDN/>
              <w:bidi w:val="0"/>
              <w:adjustRightInd/>
              <w:snapToGrid/>
              <w:spacing w:line="240" w:lineRule="auto"/>
              <w:jc w:val="center"/>
              <w:rPr>
                <w:rFonts w:ascii="仿宋" w:hAnsi="仿宋" w:eastAsia="仿宋" w:cs="仿宋"/>
                <w:color w:val="000000"/>
                <w:sz w:val="22"/>
                <w:szCs w:val="22"/>
              </w:rPr>
            </w:pPr>
          </w:p>
        </w:tc>
      </w:tr>
    </w:tbl>
    <w:p>
      <w:pPr>
        <w:pStyle w:val="2"/>
        <w:ind w:firstLine="321" w:firstLineChars="100"/>
        <w:rPr>
          <w:rFonts w:ascii="仿宋" w:hAnsi="仿宋" w:eastAsia="仿宋" w:cs="仿宋"/>
          <w:szCs w:val="32"/>
        </w:rPr>
      </w:pPr>
      <w:r>
        <w:rPr>
          <w:rFonts w:hint="eastAsia" w:ascii="仿宋" w:hAnsi="仿宋" w:eastAsia="仿宋" w:cs="仿宋"/>
          <w:b/>
          <w:bCs/>
          <w:szCs w:val="32"/>
        </w:rPr>
        <w:t>（三）重点领域绩效分析。</w:t>
      </w:r>
      <w:r>
        <w:rPr>
          <w:rFonts w:hint="eastAsia" w:ascii="仿宋" w:hAnsi="仿宋" w:eastAsia="仿宋" w:cs="仿宋"/>
          <w:szCs w:val="32"/>
        </w:rPr>
        <w:t>行政事业性国有资产；截至2024年12月31日，房屋和构筑物128.53万元，占固定资产的56.38%（其中，房屋128.53万元，占固定资产的56.38%）；设备94.78万元，占41.58%（其中，车辆0.00万元，占0.00%，单价100万</w:t>
      </w:r>
      <w:r>
        <w:rPr>
          <w:rFonts w:hint="eastAsia" w:ascii="仿宋" w:hAnsi="仿宋" w:eastAsia="仿宋" w:cs="仿宋"/>
          <w:szCs w:val="32"/>
          <w:highlight w:val="none"/>
        </w:rPr>
        <w:t>（</w:t>
      </w:r>
      <w:r>
        <w:rPr>
          <w:rFonts w:hint="eastAsia" w:ascii="仿宋" w:hAnsi="仿宋" w:eastAsia="仿宋" w:cs="仿宋"/>
          <w:szCs w:val="32"/>
        </w:rPr>
        <w:t xml:space="preserve">含）以上不含车辆设备0.00万元，占0.00%）；文物和陈列品0.00万元，占0.00%；图书和档案0.00万元，占0.00%；家具和用具4.66万元，占2.04%；特种动植物0.00万元，占0.00%。 </w:t>
      </w:r>
    </w:p>
    <w:p>
      <w:pPr>
        <w:pStyle w:val="2"/>
        <w:ind w:firstLine="640" w:firstLineChars="200"/>
        <w:rPr>
          <w:rFonts w:ascii="仿宋" w:hAnsi="仿宋" w:eastAsia="仿宋" w:cs="仿宋"/>
          <w:szCs w:val="32"/>
        </w:rPr>
      </w:pPr>
      <w:r>
        <w:rPr>
          <w:rFonts w:hint="eastAsia" w:ascii="仿宋" w:hAnsi="仿宋" w:eastAsia="仿宋" w:cs="仿宋"/>
          <w:szCs w:val="32"/>
        </w:rPr>
        <w:t>政府采购；2024年，遂宁市紧急医疗救援中心政府采购支出总额0</w:t>
      </w:r>
      <w:r>
        <w:rPr>
          <w:rFonts w:hint="eastAsia" w:ascii="仿宋" w:hAnsi="仿宋" w:eastAsia="仿宋" w:cs="仿宋"/>
          <w:szCs w:val="32"/>
          <w:lang w:val="en-US" w:eastAsia="zh-CN"/>
        </w:rPr>
        <w:t>.95</w:t>
      </w:r>
      <w:r>
        <w:rPr>
          <w:rFonts w:hint="eastAsia" w:ascii="仿宋" w:hAnsi="仿宋" w:eastAsia="仿宋" w:cs="仿宋"/>
          <w:szCs w:val="32"/>
        </w:rPr>
        <w:t>万元，其中：政府采购货物支出0万元、政府采购工程支出0万元、政府采购服务支出0.95万元。授予中小企业合同金额0万元，占政府采购支出总额的0%，其中：授予小微企业合同金额0万元，占政府采购支出总额的0%。</w:t>
      </w:r>
    </w:p>
    <w:p>
      <w:pPr>
        <w:pStyle w:val="2"/>
        <w:ind w:firstLine="642" w:firstLineChars="200"/>
        <w:rPr>
          <w:rFonts w:ascii="仿宋" w:hAnsi="仿宋" w:eastAsia="仿宋" w:cs="仿宋"/>
          <w:color w:val="000000"/>
          <w:kern w:val="0"/>
          <w:szCs w:val="32"/>
          <w:highlight w:val="green"/>
          <w:shd w:val="clear" w:color="auto" w:fill="FFFFFF"/>
        </w:rPr>
      </w:pPr>
      <w:r>
        <w:rPr>
          <w:rFonts w:hint="eastAsia" w:ascii="仿宋" w:hAnsi="仿宋" w:eastAsia="仿宋" w:cs="仿宋"/>
          <w:b/>
          <w:bCs/>
          <w:szCs w:val="32"/>
        </w:rPr>
        <w:t>（四）绩效结果应用情况。</w:t>
      </w:r>
      <w:r>
        <w:rPr>
          <w:rFonts w:hint="eastAsia" w:ascii="仿宋" w:hAnsi="仿宋" w:eastAsia="仿宋" w:cs="仿宋"/>
          <w:szCs w:val="32"/>
        </w:rPr>
        <w:t>根据预算绩效管理要求，根据预算绩效管理要求，</w:t>
      </w:r>
      <w:r>
        <w:rPr>
          <w:rFonts w:hint="eastAsia" w:ascii="仿宋" w:hAnsi="仿宋" w:eastAsia="仿宋" w:cs="仿宋"/>
          <w:color w:val="000000"/>
          <w:kern w:val="0"/>
          <w:szCs w:val="32"/>
          <w:shd w:val="clear" w:color="auto" w:fill="FFFFFF"/>
        </w:rPr>
        <w:t>2024年遂宁市紧急医疗救援中心预算编制严格按照预算编制的要求，量入为出、收支平衡、统筹兼顾的原则，编制符合本单位工作实际。</w:t>
      </w:r>
      <w:r>
        <w:rPr>
          <w:rFonts w:hint="eastAsia" w:ascii="仿宋" w:hAnsi="仿宋" w:eastAsia="仿宋" w:cs="仿宋"/>
          <w:kern w:val="0"/>
          <w:szCs w:val="32"/>
          <w:shd w:val="clear" w:color="auto" w:fill="FFFFFF"/>
          <w:lang w:val="zh-CN"/>
        </w:rPr>
        <w:t>根据市财政局及上级主管部门预算绩效管理要求，</w:t>
      </w:r>
      <w:r>
        <w:rPr>
          <w:rFonts w:hint="eastAsia" w:ascii="仿宋" w:hAnsi="仿宋" w:eastAsia="仿宋" w:cs="仿宋"/>
          <w:color w:val="000000"/>
          <w:kern w:val="0"/>
          <w:szCs w:val="32"/>
          <w:shd w:val="clear" w:color="auto" w:fill="FFFFFF"/>
        </w:rPr>
        <w:t>编制了部门整体绩效目标，项目绩效目标申报，目标制定要素完整。在规定时间内按要求报送，待</w:t>
      </w:r>
      <w:r>
        <w:rPr>
          <w:rFonts w:hint="eastAsia" w:ascii="仿宋" w:hAnsi="仿宋" w:eastAsia="仿宋" w:cs="仿宋"/>
          <w:szCs w:val="32"/>
        </w:rPr>
        <w:t>预算批复后按要求公开</w:t>
      </w:r>
      <w:r>
        <w:rPr>
          <w:rFonts w:hint="eastAsia" w:ascii="仿宋" w:hAnsi="仿宋" w:eastAsia="仿宋" w:cs="仿宋"/>
          <w:color w:val="000000"/>
          <w:kern w:val="0"/>
          <w:szCs w:val="32"/>
          <w:shd w:val="clear" w:color="auto" w:fill="FFFFFF"/>
        </w:rPr>
        <w:t>。</w:t>
      </w:r>
    </w:p>
    <w:p>
      <w:pPr>
        <w:widowControl/>
        <w:adjustRightInd w:val="0"/>
        <w:snapToGrid w:val="0"/>
        <w:spacing w:line="620" w:lineRule="exact"/>
        <w:ind w:firstLine="640" w:firstLineChars="200"/>
        <w:contextualSpacing/>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四、评价结论及建议</w:t>
      </w:r>
    </w:p>
    <w:p>
      <w:pPr>
        <w:widowControl/>
        <w:adjustRightInd w:val="0"/>
        <w:snapToGrid w:val="0"/>
        <w:spacing w:line="620" w:lineRule="exact"/>
        <w:ind w:firstLine="642" w:firstLineChars="200"/>
        <w:contextualSpacing/>
        <w:jc w:val="left"/>
        <w:rPr>
          <w:rFonts w:ascii="仿宋" w:hAnsi="仿宋" w:eastAsia="仿宋" w:cs="仿宋"/>
          <w:b/>
          <w:bCs/>
          <w:color w:val="000000"/>
          <w:kern w:val="0"/>
          <w:sz w:val="32"/>
          <w:szCs w:val="32"/>
          <w:shd w:val="clear" w:color="auto" w:fill="FFFFFF"/>
          <w:lang w:val="zh-CN"/>
        </w:rPr>
      </w:pPr>
      <w:r>
        <w:rPr>
          <w:rFonts w:hint="eastAsia" w:ascii="仿宋" w:hAnsi="仿宋" w:eastAsia="仿宋" w:cs="仿宋"/>
          <w:b/>
          <w:bCs/>
          <w:color w:val="000000"/>
          <w:kern w:val="0"/>
          <w:sz w:val="32"/>
          <w:szCs w:val="32"/>
          <w:shd w:val="clear" w:color="auto" w:fill="FFFFFF"/>
          <w:lang w:val="zh-CN"/>
        </w:rPr>
        <w:t>（一）评价结论</w:t>
      </w:r>
    </w:p>
    <w:p>
      <w:pPr>
        <w:adjustRightInd w:val="0"/>
        <w:snapToGrid w:val="0"/>
        <w:spacing w:line="360" w:lineRule="auto"/>
        <w:ind w:firstLine="720"/>
        <w:jc w:val="left"/>
        <w:rPr>
          <w:rFonts w:ascii="仿宋" w:hAnsi="仿宋" w:eastAsia="仿宋" w:cs="仿宋"/>
          <w:kern w:val="0"/>
          <w:sz w:val="32"/>
          <w:szCs w:val="32"/>
        </w:rPr>
      </w:pPr>
      <w:r>
        <w:rPr>
          <w:rFonts w:hint="eastAsia" w:ascii="仿宋" w:hAnsi="仿宋" w:eastAsia="仿宋" w:cs="仿宋"/>
          <w:color w:val="000000"/>
          <w:sz w:val="32"/>
          <w:szCs w:val="32"/>
        </w:rPr>
        <w:t>2024年，</w:t>
      </w:r>
      <w:r>
        <w:rPr>
          <w:rFonts w:hint="eastAsia" w:ascii="仿宋" w:hAnsi="仿宋" w:eastAsia="仿宋" w:cs="仿宋"/>
          <w:color w:val="000000"/>
          <w:kern w:val="0"/>
          <w:sz w:val="32"/>
          <w:szCs w:val="32"/>
          <w:shd w:val="clear" w:color="auto" w:fill="FFFFFF"/>
          <w:lang w:val="zh-CN"/>
        </w:rPr>
        <w:t>我单位部门整体支出绩效自查自评结果良好，全年基本支出保证了部门的正常运转，项目支出保障了重点工作的开展，按照2024年度市级部门整体支出绩效评价指标体系对我单位部门预算编制、预算执行、完成结果、信息公开、整改反馈等方面进行了自评，最终得分</w:t>
      </w:r>
      <w:r>
        <w:rPr>
          <w:rFonts w:hint="eastAsia" w:ascii="仿宋" w:hAnsi="仿宋" w:eastAsia="仿宋" w:cs="仿宋"/>
          <w:kern w:val="0"/>
          <w:sz w:val="32"/>
          <w:szCs w:val="32"/>
          <w:shd w:val="clear" w:color="auto" w:fill="FFFFFF"/>
        </w:rPr>
        <w:t>84.97</w:t>
      </w:r>
      <w:r>
        <w:rPr>
          <w:rFonts w:hint="eastAsia" w:ascii="仿宋" w:hAnsi="仿宋" w:eastAsia="仿宋" w:cs="仿宋"/>
          <w:color w:val="000000"/>
          <w:kern w:val="0"/>
          <w:sz w:val="32"/>
          <w:szCs w:val="32"/>
          <w:shd w:val="clear" w:color="auto" w:fill="FFFFFF"/>
          <w:lang w:val="zh-CN"/>
        </w:rPr>
        <w:t>分。</w:t>
      </w:r>
      <w:r>
        <w:rPr>
          <w:rFonts w:hint="eastAsia" w:ascii="仿宋" w:hAnsi="仿宋" w:eastAsia="仿宋" w:cs="仿宋"/>
          <w:color w:val="000000"/>
          <w:sz w:val="32"/>
          <w:szCs w:val="32"/>
        </w:rPr>
        <w:t>在上级主管部门的正确领导下，我单位紧紧围绕年度目标任务，团结拼搏，锐意进取，扎实工作，</w:t>
      </w:r>
      <w:r>
        <w:rPr>
          <w:rFonts w:hint="eastAsia" w:ascii="仿宋" w:hAnsi="仿宋" w:eastAsia="仿宋" w:cs="仿宋"/>
          <w:kern w:val="0"/>
          <w:sz w:val="32"/>
          <w:szCs w:val="32"/>
        </w:rPr>
        <w:t>圆满完成了各项工作和任务，积极为全市经济科学发展、安全发展、绿色发展做出了应有的贡献。</w:t>
      </w:r>
    </w:p>
    <w:p>
      <w:pPr>
        <w:adjustRightInd w:val="0"/>
        <w:snapToGrid w:val="0"/>
        <w:spacing w:line="360" w:lineRule="auto"/>
        <w:ind w:firstLine="720"/>
        <w:jc w:val="left"/>
        <w:rPr>
          <w:rFonts w:ascii="仿宋" w:hAnsi="仿宋" w:eastAsia="仿宋" w:cs="仿宋"/>
          <w:b/>
          <w:bCs/>
          <w:kern w:val="0"/>
          <w:sz w:val="32"/>
          <w:szCs w:val="32"/>
          <w:shd w:val="clear" w:color="auto" w:fill="FFFFFF"/>
          <w:lang w:val="zh-CN"/>
        </w:rPr>
      </w:pPr>
      <w:r>
        <w:rPr>
          <w:rFonts w:hint="eastAsia" w:ascii="仿宋" w:hAnsi="仿宋" w:eastAsia="仿宋" w:cs="仿宋"/>
          <w:b/>
          <w:bCs/>
          <w:kern w:val="0"/>
          <w:sz w:val="32"/>
          <w:szCs w:val="32"/>
          <w:shd w:val="clear" w:color="auto" w:fill="FFFFFF"/>
          <w:lang w:val="zh-CN"/>
        </w:rPr>
        <w:t>（二）存在问题</w:t>
      </w:r>
    </w:p>
    <w:p>
      <w:pPr>
        <w:spacing w:line="360" w:lineRule="auto"/>
        <w:ind w:firstLine="640" w:firstLineChars="200"/>
        <w:rPr>
          <w:rFonts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1.预算编制方面</w:t>
      </w:r>
    </w:p>
    <w:p>
      <w:pPr>
        <w:spacing w:line="360" w:lineRule="auto"/>
        <w:ind w:firstLine="640" w:firstLineChars="200"/>
        <w:rPr>
          <w:rFonts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我单位预算编制准确性有待提高。</w:t>
      </w:r>
    </w:p>
    <w:p>
      <w:pPr>
        <w:spacing w:line="360" w:lineRule="auto"/>
        <w:ind w:firstLine="640" w:firstLineChars="200"/>
        <w:rPr>
          <w:rFonts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2.预算执行方面</w:t>
      </w:r>
    </w:p>
    <w:p>
      <w:pPr>
        <w:spacing w:line="360" w:lineRule="auto"/>
        <w:ind w:firstLine="640" w:firstLineChars="200"/>
        <w:rPr>
          <w:rFonts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我单位在预算执行进度上存在滞后现象，对于支出控制的把控度不够。</w:t>
      </w:r>
    </w:p>
    <w:p>
      <w:pPr>
        <w:spacing w:line="580" w:lineRule="exact"/>
        <w:ind w:firstLine="642" w:firstLineChars="200"/>
        <w:jc w:val="left"/>
        <w:rPr>
          <w:rFonts w:ascii="仿宋" w:hAnsi="仿宋" w:eastAsia="仿宋" w:cs="仿宋"/>
          <w:b/>
          <w:bCs/>
          <w:kern w:val="0"/>
          <w:sz w:val="32"/>
          <w:szCs w:val="32"/>
          <w:shd w:val="clear" w:color="auto" w:fill="FFFFFF"/>
          <w:lang w:val="zh-CN"/>
        </w:rPr>
      </w:pPr>
      <w:r>
        <w:rPr>
          <w:rFonts w:hint="eastAsia" w:ascii="仿宋" w:hAnsi="仿宋" w:eastAsia="仿宋" w:cs="仿宋"/>
          <w:b/>
          <w:bCs/>
          <w:kern w:val="0"/>
          <w:sz w:val="32"/>
          <w:szCs w:val="32"/>
          <w:shd w:val="clear" w:color="auto" w:fill="FFFFFF"/>
          <w:lang w:val="zh-CN"/>
        </w:rPr>
        <w:t>（三）改进建议</w:t>
      </w:r>
    </w:p>
    <w:p>
      <w:pPr>
        <w:spacing w:line="360" w:lineRule="auto"/>
        <w:ind w:firstLine="640" w:firstLineChars="200"/>
        <w:rPr>
          <w:rFonts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rPr>
        <w:t>1</w:t>
      </w:r>
      <w:r>
        <w:rPr>
          <w:rFonts w:hint="eastAsia" w:ascii="仿宋" w:hAnsi="仿宋" w:eastAsia="仿宋" w:cs="仿宋"/>
          <w:color w:val="000000"/>
          <w:kern w:val="0"/>
          <w:sz w:val="32"/>
          <w:szCs w:val="32"/>
          <w:shd w:val="clear" w:color="auto" w:fill="FFFFFF"/>
          <w:lang w:val="zh-CN"/>
        </w:rPr>
        <w:t>.强化预算编制，并严格遵守《中华人民共和国预算法》，各项经费收入全部纳入预算管理，提高预算精准度，追加调整预算严格执行相应的审批程序，预算内各项资金的来源、使用科目的设置规范化。</w:t>
      </w:r>
    </w:p>
    <w:p>
      <w:pPr>
        <w:spacing w:line="360" w:lineRule="auto"/>
        <w:ind w:firstLine="640" w:firstLineChars="200"/>
        <w:rPr>
          <w:rFonts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rPr>
        <w:t>2</w:t>
      </w:r>
      <w:r>
        <w:rPr>
          <w:rFonts w:hint="eastAsia" w:ascii="仿宋" w:hAnsi="仿宋" w:eastAsia="仿宋" w:cs="仿宋"/>
          <w:color w:val="000000"/>
          <w:kern w:val="0"/>
          <w:sz w:val="32"/>
          <w:szCs w:val="32"/>
          <w:shd w:val="clear" w:color="auto" w:fill="FFFFFF"/>
          <w:lang w:val="zh-CN"/>
        </w:rPr>
        <w:t>.加强资金管理，对事前、事中</w:t>
      </w:r>
      <w:r>
        <w:rPr>
          <w:rFonts w:hint="eastAsia" w:ascii="仿宋" w:hAnsi="仿宋" w:eastAsia="仿宋" w:cs="仿宋"/>
          <w:color w:val="000000"/>
          <w:kern w:val="0"/>
          <w:sz w:val="32"/>
          <w:szCs w:val="32"/>
          <w:shd w:val="clear" w:color="auto" w:fill="FFFFFF"/>
        </w:rPr>
        <w:t>全过程管理</w:t>
      </w:r>
      <w:r>
        <w:rPr>
          <w:rFonts w:hint="eastAsia" w:ascii="仿宋" w:hAnsi="仿宋" w:eastAsia="仿宋" w:cs="仿宋"/>
          <w:color w:val="000000"/>
          <w:kern w:val="0"/>
          <w:sz w:val="32"/>
          <w:szCs w:val="32"/>
          <w:shd w:val="clear" w:color="auto" w:fill="FFFFFF"/>
          <w:lang w:val="zh-CN"/>
        </w:rPr>
        <w:t>，对支出进行合理把控，避免超预算、无预算开支的现象发生，</w:t>
      </w:r>
      <w:r>
        <w:rPr>
          <w:rFonts w:hint="eastAsia" w:ascii="仿宋" w:hAnsi="仿宋" w:eastAsia="仿宋" w:cs="仿宋"/>
          <w:color w:val="000000"/>
          <w:kern w:val="0"/>
          <w:sz w:val="32"/>
          <w:szCs w:val="32"/>
          <w:shd w:val="clear" w:color="auto" w:fill="FFFFFF"/>
        </w:rPr>
        <w:t>财务上和业务科室积极沟通，开展绩效工作业务培训</w:t>
      </w:r>
      <w:r>
        <w:rPr>
          <w:rFonts w:hint="eastAsia" w:ascii="仿宋" w:hAnsi="仿宋" w:eastAsia="仿宋" w:cs="仿宋"/>
          <w:color w:val="000000"/>
          <w:kern w:val="0"/>
          <w:sz w:val="32"/>
          <w:szCs w:val="32"/>
          <w:shd w:val="clear" w:color="auto" w:fill="FFFFFF"/>
          <w:lang w:val="zh-CN"/>
        </w:rPr>
        <w:t>。</w:t>
      </w:r>
    </w:p>
    <w:p>
      <w:pPr>
        <w:spacing w:line="360" w:lineRule="auto"/>
        <w:ind w:firstLine="640" w:firstLineChars="200"/>
        <w:rPr>
          <w:rFonts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4.加强财务会计人员业务培训，提升业务质量，严格执行会计基础工作规范。及时准确地记录、反映单位经济活动，确保会计制度遵守执行。须按照统一的会计准则和制度的规定对原始凭证进行审核，对不真实、不合法的原始凭证有权不予接受，并向单位负责人报告；对记载不准确、不完整的原始凭证予以退回，并按照国家统一的会计制度的规定更正、补充。以下</w:t>
      </w:r>
      <w:r>
        <w:rPr>
          <w:rFonts w:hint="eastAsia" w:ascii="仿宋" w:hAnsi="仿宋" w:eastAsia="仿宋" w:cs="仿宋"/>
          <w:color w:val="000000"/>
          <w:kern w:val="0"/>
          <w:sz w:val="32"/>
          <w:szCs w:val="32"/>
          <w:shd w:val="clear" w:color="auto" w:fill="FFFFFF"/>
        </w:rPr>
        <w:t>附表：部门整体支出绩效目标完成情况自评表</w:t>
      </w:r>
    </w:p>
    <w:p>
      <w:pPr>
        <w:ind w:firstLine="660" w:firstLineChars="200"/>
        <w:jc w:val="left"/>
      </w:pPr>
      <w:r>
        <w:rPr>
          <w:color w:val="000000"/>
          <w:kern w:val="0"/>
          <w:sz w:val="33"/>
          <w:szCs w:val="33"/>
          <w:shd w:val="clear" w:color="auto" w:fill="FFFFFF"/>
        </w:rPr>
        <w:br w:type="page"/>
      </w:r>
    </w:p>
    <w:tbl>
      <w:tblPr>
        <w:tblStyle w:val="17"/>
        <w:tblW w:w="10560" w:type="dxa"/>
        <w:jc w:val="center"/>
        <w:tblLayout w:type="fixed"/>
        <w:tblCellMar>
          <w:top w:w="15" w:type="dxa"/>
          <w:left w:w="15" w:type="dxa"/>
          <w:bottom w:w="15" w:type="dxa"/>
          <w:right w:w="15" w:type="dxa"/>
        </w:tblCellMar>
      </w:tblPr>
      <w:tblGrid>
        <w:gridCol w:w="1308"/>
        <w:gridCol w:w="1347"/>
        <w:gridCol w:w="1273"/>
        <w:gridCol w:w="1100"/>
        <w:gridCol w:w="1145"/>
        <w:gridCol w:w="1289"/>
        <w:gridCol w:w="1058"/>
        <w:gridCol w:w="926"/>
        <w:gridCol w:w="1114"/>
      </w:tblGrid>
      <w:tr>
        <w:tblPrEx>
          <w:tblCellMar>
            <w:top w:w="15" w:type="dxa"/>
            <w:left w:w="15" w:type="dxa"/>
            <w:bottom w:w="15" w:type="dxa"/>
            <w:right w:w="15" w:type="dxa"/>
          </w:tblCellMar>
        </w:tblPrEx>
        <w:trPr>
          <w:trHeight w:val="707" w:hRule="exact"/>
          <w:jc w:val="center"/>
        </w:trPr>
        <w:tc>
          <w:tcPr>
            <w:tcW w:w="10560" w:type="dxa"/>
            <w:gridSpan w:val="9"/>
            <w:vAlign w:val="center"/>
          </w:tcPr>
          <w:p>
            <w:pPr>
              <w:keepNext/>
              <w:keepLines w:val="0"/>
              <w:pageBreakBefore w:val="0"/>
              <w:widowControl w:val="0"/>
              <w:kinsoku w:val="0"/>
              <w:wordWrap/>
              <w:overflowPunct w:val="0"/>
              <w:topLinePunct w:val="0"/>
              <w:autoSpaceDE w:val="0"/>
              <w:autoSpaceDN w:val="0"/>
              <w:bidi w:val="0"/>
              <w:adjustRightInd w:val="0"/>
              <w:snapToGrid w:val="0"/>
              <w:spacing w:line="240" w:lineRule="auto"/>
              <w:jc w:val="center"/>
              <w:textAlignment w:val="center"/>
              <w:rPr>
                <w:rFonts w:eastAsia="黑体"/>
                <w:color w:val="000000"/>
                <w:sz w:val="28"/>
                <w:szCs w:val="28"/>
              </w:rPr>
            </w:pPr>
            <w:r>
              <w:rPr>
                <w:rFonts w:eastAsia="方正小标宋简体"/>
                <w:color w:val="000000"/>
                <w:kern w:val="0"/>
                <w:sz w:val="44"/>
                <w:szCs w:val="44"/>
              </w:rPr>
              <w:t>部门整体支出绩效目标完成情况自评表</w:t>
            </w:r>
          </w:p>
        </w:tc>
      </w:tr>
      <w:tr>
        <w:tblPrEx>
          <w:tblCellMar>
            <w:top w:w="15" w:type="dxa"/>
            <w:left w:w="15" w:type="dxa"/>
            <w:bottom w:w="15" w:type="dxa"/>
            <w:right w:w="15" w:type="dxa"/>
          </w:tblCellMar>
        </w:tblPrEx>
        <w:trPr>
          <w:trHeight w:val="474" w:hRule="atLeast"/>
          <w:jc w:val="center"/>
        </w:trPr>
        <w:tc>
          <w:tcPr>
            <w:tcW w:w="10560" w:type="dxa"/>
            <w:gridSpan w:val="9"/>
            <w:vAlign w:val="center"/>
          </w:tcPr>
          <w:p>
            <w:pPr>
              <w:keepNext/>
              <w:keepLines w:val="0"/>
              <w:pageBreakBefore w:val="0"/>
              <w:widowControl w:val="0"/>
              <w:kinsoku w:val="0"/>
              <w:wordWrap/>
              <w:overflowPunct w:val="0"/>
              <w:topLinePunct w:val="0"/>
              <w:autoSpaceDE w:val="0"/>
              <w:autoSpaceDN w:val="0"/>
              <w:bidi w:val="0"/>
              <w:adjustRightInd w:val="0"/>
              <w:snapToGrid w:val="0"/>
              <w:spacing w:line="240" w:lineRule="auto"/>
              <w:jc w:val="center"/>
              <w:textAlignment w:val="center"/>
              <w:rPr>
                <w:color w:val="000000"/>
                <w:sz w:val="28"/>
                <w:szCs w:val="28"/>
              </w:rPr>
            </w:pPr>
            <w:r>
              <w:rPr>
                <w:color w:val="000000"/>
                <w:kern w:val="0"/>
                <w:sz w:val="28"/>
                <w:szCs w:val="28"/>
              </w:rPr>
              <w:t>（202</w:t>
            </w:r>
            <w:r>
              <w:rPr>
                <w:rFonts w:hint="eastAsia"/>
                <w:color w:val="000000"/>
                <w:kern w:val="0"/>
                <w:sz w:val="28"/>
                <w:szCs w:val="28"/>
              </w:rPr>
              <w:t>4</w:t>
            </w:r>
            <w:r>
              <w:rPr>
                <w:color w:val="000000"/>
                <w:kern w:val="0"/>
                <w:sz w:val="28"/>
                <w:szCs w:val="28"/>
              </w:rPr>
              <w:t>年度）</w:t>
            </w:r>
          </w:p>
        </w:tc>
      </w:tr>
      <w:tr>
        <w:tblPrEx>
          <w:tblCellMar>
            <w:top w:w="15" w:type="dxa"/>
            <w:left w:w="15" w:type="dxa"/>
            <w:bottom w:w="15" w:type="dxa"/>
            <w:right w:w="15" w:type="dxa"/>
          </w:tblCellMar>
        </w:tblPrEx>
        <w:trPr>
          <w:trHeight w:val="351" w:hRule="atLeast"/>
          <w:jc w:val="center"/>
        </w:trPr>
        <w:tc>
          <w:tcPr>
            <w:tcW w:w="10560" w:type="dxa"/>
            <w:gridSpan w:val="9"/>
            <w:tcBorders>
              <w:bottom w:val="single" w:color="000000" w:sz="4" w:space="0"/>
            </w:tcBorders>
            <w:vAlign w:val="center"/>
          </w:tcPr>
          <w:p>
            <w:pPr>
              <w:keepNext/>
              <w:keepLines w:val="0"/>
              <w:pageBreakBefore w:val="0"/>
              <w:widowControl w:val="0"/>
              <w:kinsoku w:val="0"/>
              <w:wordWrap/>
              <w:overflowPunct w:val="0"/>
              <w:topLinePunct w:val="0"/>
              <w:autoSpaceDE w:val="0"/>
              <w:autoSpaceDN w:val="0"/>
              <w:bidi w:val="0"/>
              <w:adjustRightInd w:val="0"/>
              <w:snapToGrid w:val="0"/>
              <w:spacing w:line="240" w:lineRule="auto"/>
              <w:jc w:val="right"/>
              <w:textAlignment w:val="center"/>
              <w:rPr>
                <w:color w:val="000000"/>
                <w:szCs w:val="21"/>
              </w:rPr>
            </w:pPr>
            <w:r>
              <w:rPr>
                <w:color w:val="000000"/>
                <w:kern w:val="0"/>
                <w:szCs w:val="21"/>
              </w:rPr>
              <w:t>单位：万元</w:t>
            </w:r>
          </w:p>
        </w:tc>
      </w:tr>
      <w:tr>
        <w:tblPrEx>
          <w:tblCellMar>
            <w:top w:w="15" w:type="dxa"/>
            <w:left w:w="15" w:type="dxa"/>
            <w:bottom w:w="15" w:type="dxa"/>
            <w:right w:w="15" w:type="dxa"/>
          </w:tblCellMar>
        </w:tblPrEx>
        <w:trPr>
          <w:trHeight w:val="23" w:hRule="atLeast"/>
          <w:jc w:val="center"/>
        </w:trPr>
        <w:tc>
          <w:tcPr>
            <w:tcW w:w="3929" w:type="dxa"/>
            <w:gridSpan w:val="3"/>
            <w:tcBorders>
              <w:top w:val="single" w:color="000000" w:sz="4" w:space="0"/>
              <w:left w:val="single" w:color="000000" w:sz="4" w:space="0"/>
              <w:bottom w:val="single" w:color="000000" w:sz="4" w:space="0"/>
              <w:right w:val="single" w:color="000000" w:sz="4" w:space="0"/>
            </w:tcBorders>
            <w:vAlign w:val="center"/>
          </w:tcPr>
          <w:p>
            <w:pPr>
              <w:keepNext/>
              <w:keepLines w:val="0"/>
              <w:pageBreakBefore w:val="0"/>
              <w:widowControl w:val="0"/>
              <w:kinsoku w:val="0"/>
              <w:wordWrap/>
              <w:overflowPunct w:val="0"/>
              <w:topLinePunct w:val="0"/>
              <w:autoSpaceDE w:val="0"/>
              <w:autoSpaceDN w:val="0"/>
              <w:bidi w:val="0"/>
              <w:adjustRightInd w:val="0"/>
              <w:snapToGrid w:val="0"/>
              <w:spacing w:line="240" w:lineRule="auto"/>
              <w:jc w:val="center"/>
              <w:textAlignment w:val="center"/>
              <w:rPr>
                <w:color w:val="000000"/>
                <w:sz w:val="24"/>
              </w:rPr>
            </w:pPr>
            <w:r>
              <w:rPr>
                <w:color w:val="000000"/>
                <w:kern w:val="0"/>
                <w:sz w:val="24"/>
              </w:rPr>
              <w:t>部门名称</w:t>
            </w:r>
          </w:p>
        </w:tc>
        <w:tc>
          <w:tcPr>
            <w:tcW w:w="6631" w:type="dxa"/>
            <w:gridSpan w:val="6"/>
            <w:tcBorders>
              <w:top w:val="single" w:color="000000" w:sz="4" w:space="0"/>
              <w:left w:val="single" w:color="000000" w:sz="4" w:space="0"/>
              <w:bottom w:val="single" w:color="000000" w:sz="4" w:space="0"/>
              <w:right w:val="single" w:color="000000" w:sz="4" w:space="0"/>
            </w:tcBorders>
            <w:vAlign w:val="center"/>
          </w:tcPr>
          <w:p>
            <w:pPr>
              <w:keepNext/>
              <w:keepLines w:val="0"/>
              <w:pageBreakBefore w:val="0"/>
              <w:widowControl w:val="0"/>
              <w:kinsoku w:val="0"/>
              <w:wordWrap/>
              <w:overflowPunct w:val="0"/>
              <w:topLinePunct w:val="0"/>
              <w:autoSpaceDE w:val="0"/>
              <w:autoSpaceDN w:val="0"/>
              <w:bidi w:val="0"/>
              <w:adjustRightInd w:val="0"/>
              <w:snapToGrid w:val="0"/>
              <w:spacing w:line="240" w:lineRule="auto"/>
              <w:textAlignment w:val="center"/>
              <w:rPr>
                <w:color w:val="000000"/>
                <w:sz w:val="24"/>
              </w:rPr>
            </w:pPr>
            <w:r>
              <w:rPr>
                <w:rFonts w:hint="eastAsia"/>
                <w:color w:val="000000"/>
                <w:sz w:val="24"/>
              </w:rPr>
              <w:t>遂宁市紧急医疗救援中心</w:t>
            </w:r>
          </w:p>
        </w:tc>
      </w:tr>
      <w:tr>
        <w:tblPrEx>
          <w:tblCellMar>
            <w:top w:w="15" w:type="dxa"/>
            <w:left w:w="15" w:type="dxa"/>
            <w:bottom w:w="15" w:type="dxa"/>
            <w:right w:w="15" w:type="dxa"/>
          </w:tblCellMar>
        </w:tblPrEx>
        <w:trPr>
          <w:trHeight w:val="23" w:hRule="atLeast"/>
          <w:jc w:val="center"/>
        </w:trPr>
        <w:tc>
          <w:tcPr>
            <w:tcW w:w="1309" w:type="dxa"/>
            <w:vMerge w:val="restart"/>
            <w:tcBorders>
              <w:top w:val="single" w:color="000000" w:sz="4" w:space="0"/>
              <w:left w:val="single" w:color="000000" w:sz="4" w:space="0"/>
              <w:bottom w:val="single" w:color="000000" w:sz="4" w:space="0"/>
              <w:right w:val="single" w:color="000000" w:sz="4" w:space="0"/>
            </w:tcBorders>
            <w:vAlign w:val="center"/>
          </w:tcPr>
          <w:p>
            <w:pPr>
              <w:keepNext/>
              <w:keepLines w:val="0"/>
              <w:pageBreakBefore w:val="0"/>
              <w:widowControl w:val="0"/>
              <w:kinsoku w:val="0"/>
              <w:wordWrap/>
              <w:overflowPunct w:val="0"/>
              <w:topLinePunct w:val="0"/>
              <w:autoSpaceDE w:val="0"/>
              <w:autoSpaceDN w:val="0"/>
              <w:bidi w:val="0"/>
              <w:adjustRightInd w:val="0"/>
              <w:snapToGrid w:val="0"/>
              <w:spacing w:line="240" w:lineRule="auto"/>
              <w:jc w:val="center"/>
              <w:textAlignment w:val="center"/>
              <w:rPr>
                <w:color w:val="000000"/>
                <w:sz w:val="24"/>
              </w:rPr>
            </w:pPr>
            <w:r>
              <w:rPr>
                <w:color w:val="000000"/>
                <w:kern w:val="0"/>
                <w:sz w:val="24"/>
              </w:rPr>
              <w:t>年度部门整体支出预算</w:t>
            </w:r>
          </w:p>
        </w:tc>
        <w:tc>
          <w:tcPr>
            <w:tcW w:w="2620" w:type="dxa"/>
            <w:gridSpan w:val="2"/>
            <w:tcBorders>
              <w:top w:val="single" w:color="000000" w:sz="4" w:space="0"/>
              <w:left w:val="single" w:color="000000" w:sz="4" w:space="0"/>
              <w:bottom w:val="single" w:color="000000" w:sz="4" w:space="0"/>
              <w:right w:val="single" w:color="000000" w:sz="4" w:space="0"/>
            </w:tcBorders>
            <w:vAlign w:val="center"/>
          </w:tcPr>
          <w:p>
            <w:pPr>
              <w:keepNext/>
              <w:keepLines w:val="0"/>
              <w:pageBreakBefore w:val="0"/>
              <w:widowControl w:val="0"/>
              <w:kinsoku w:val="0"/>
              <w:wordWrap/>
              <w:overflowPunct w:val="0"/>
              <w:topLinePunct w:val="0"/>
              <w:autoSpaceDE w:val="0"/>
              <w:autoSpaceDN w:val="0"/>
              <w:bidi w:val="0"/>
              <w:adjustRightInd w:val="0"/>
              <w:snapToGrid w:val="0"/>
              <w:spacing w:line="240" w:lineRule="auto"/>
              <w:jc w:val="center"/>
              <w:textAlignment w:val="center"/>
              <w:rPr>
                <w:color w:val="000000"/>
                <w:sz w:val="24"/>
              </w:rPr>
            </w:pPr>
            <w:r>
              <w:rPr>
                <w:color w:val="000000"/>
                <w:kern w:val="0"/>
                <w:sz w:val="24"/>
              </w:rPr>
              <w:t>资金总额</w:t>
            </w:r>
          </w:p>
        </w:tc>
        <w:tc>
          <w:tcPr>
            <w:tcW w:w="2244" w:type="dxa"/>
            <w:gridSpan w:val="2"/>
            <w:tcBorders>
              <w:top w:val="single" w:color="000000" w:sz="4" w:space="0"/>
              <w:left w:val="single" w:color="000000" w:sz="4" w:space="0"/>
              <w:bottom w:val="single" w:color="000000" w:sz="4" w:space="0"/>
              <w:right w:val="single" w:color="000000" w:sz="4" w:space="0"/>
            </w:tcBorders>
            <w:vAlign w:val="center"/>
          </w:tcPr>
          <w:p>
            <w:pPr>
              <w:keepNext/>
              <w:keepLines w:val="0"/>
              <w:pageBreakBefore w:val="0"/>
              <w:widowControl w:val="0"/>
              <w:kinsoku w:val="0"/>
              <w:wordWrap/>
              <w:overflowPunct w:val="0"/>
              <w:topLinePunct w:val="0"/>
              <w:autoSpaceDE w:val="0"/>
              <w:autoSpaceDN w:val="0"/>
              <w:bidi w:val="0"/>
              <w:adjustRightInd w:val="0"/>
              <w:snapToGrid w:val="0"/>
              <w:spacing w:line="240" w:lineRule="auto"/>
              <w:jc w:val="center"/>
              <w:textAlignment w:val="center"/>
              <w:rPr>
                <w:color w:val="000000"/>
                <w:sz w:val="24"/>
              </w:rPr>
            </w:pPr>
            <w:r>
              <w:rPr>
                <w:color w:val="000000"/>
                <w:kern w:val="0"/>
                <w:sz w:val="24"/>
              </w:rPr>
              <w:t>财政拨款</w:t>
            </w:r>
          </w:p>
        </w:tc>
        <w:tc>
          <w:tcPr>
            <w:tcW w:w="4387" w:type="dxa"/>
            <w:gridSpan w:val="4"/>
            <w:tcBorders>
              <w:top w:val="single" w:color="000000" w:sz="4" w:space="0"/>
              <w:left w:val="single" w:color="000000" w:sz="4" w:space="0"/>
              <w:bottom w:val="single" w:color="000000" w:sz="4" w:space="0"/>
              <w:right w:val="single" w:color="000000" w:sz="4" w:space="0"/>
            </w:tcBorders>
            <w:vAlign w:val="center"/>
          </w:tcPr>
          <w:p>
            <w:pPr>
              <w:keepNext/>
              <w:keepLines w:val="0"/>
              <w:pageBreakBefore w:val="0"/>
              <w:widowControl w:val="0"/>
              <w:kinsoku w:val="0"/>
              <w:wordWrap/>
              <w:overflowPunct w:val="0"/>
              <w:topLinePunct w:val="0"/>
              <w:autoSpaceDE w:val="0"/>
              <w:autoSpaceDN w:val="0"/>
              <w:bidi w:val="0"/>
              <w:adjustRightInd w:val="0"/>
              <w:snapToGrid w:val="0"/>
              <w:spacing w:line="240" w:lineRule="auto"/>
              <w:jc w:val="center"/>
              <w:textAlignment w:val="center"/>
              <w:rPr>
                <w:color w:val="000000"/>
                <w:sz w:val="24"/>
              </w:rPr>
            </w:pPr>
            <w:r>
              <w:rPr>
                <w:color w:val="000000"/>
                <w:kern w:val="0"/>
                <w:sz w:val="24"/>
              </w:rPr>
              <w:t>其他资金</w:t>
            </w:r>
          </w:p>
        </w:tc>
      </w:tr>
      <w:tr>
        <w:tblPrEx>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vAlign w:val="center"/>
          </w:tcPr>
          <w:p>
            <w:pPr>
              <w:keepNext/>
              <w:keepLines w:val="0"/>
              <w:pageBreakBefore w:val="0"/>
              <w:widowControl w:val="0"/>
              <w:kinsoku w:val="0"/>
              <w:wordWrap/>
              <w:overflowPunct w:val="0"/>
              <w:topLinePunct w:val="0"/>
              <w:autoSpaceDE w:val="0"/>
              <w:autoSpaceDN w:val="0"/>
              <w:bidi w:val="0"/>
              <w:adjustRightInd w:val="0"/>
              <w:snapToGrid w:val="0"/>
              <w:spacing w:line="240" w:lineRule="auto"/>
              <w:jc w:val="center"/>
              <w:rPr>
                <w:color w:val="000000"/>
                <w:sz w:val="24"/>
              </w:rPr>
            </w:pPr>
          </w:p>
        </w:tc>
        <w:tc>
          <w:tcPr>
            <w:tcW w:w="2620" w:type="dxa"/>
            <w:gridSpan w:val="2"/>
            <w:tcBorders>
              <w:top w:val="single" w:color="000000" w:sz="4" w:space="0"/>
              <w:left w:val="single" w:color="000000" w:sz="4" w:space="0"/>
              <w:bottom w:val="single" w:color="000000" w:sz="4" w:space="0"/>
              <w:right w:val="single" w:color="000000" w:sz="4" w:space="0"/>
            </w:tcBorders>
            <w:vAlign w:val="center"/>
          </w:tcPr>
          <w:p>
            <w:pPr>
              <w:keepNext/>
              <w:keepLines w:val="0"/>
              <w:pageBreakBefore w:val="0"/>
              <w:widowControl w:val="0"/>
              <w:kinsoku w:val="0"/>
              <w:wordWrap/>
              <w:overflowPunct w:val="0"/>
              <w:topLinePunct w:val="0"/>
              <w:autoSpaceDE w:val="0"/>
              <w:autoSpaceDN w:val="0"/>
              <w:bidi w:val="0"/>
              <w:adjustRightInd w:val="0"/>
              <w:snapToGrid w:val="0"/>
              <w:spacing w:line="240" w:lineRule="auto"/>
              <w:jc w:val="center"/>
              <w:textAlignment w:val="center"/>
              <w:rPr>
                <w:color w:val="000000"/>
                <w:sz w:val="24"/>
              </w:rPr>
            </w:pPr>
            <w:r>
              <w:rPr>
                <w:rFonts w:hint="eastAsia"/>
                <w:color w:val="000000"/>
                <w:kern w:val="0"/>
                <w:sz w:val="24"/>
              </w:rPr>
              <w:t>458.33</w:t>
            </w:r>
          </w:p>
        </w:tc>
        <w:tc>
          <w:tcPr>
            <w:tcW w:w="2244" w:type="dxa"/>
            <w:gridSpan w:val="2"/>
            <w:tcBorders>
              <w:top w:val="single" w:color="000000" w:sz="4" w:space="0"/>
              <w:left w:val="single" w:color="000000" w:sz="4" w:space="0"/>
              <w:bottom w:val="single" w:color="000000" w:sz="4" w:space="0"/>
              <w:right w:val="single" w:color="000000" w:sz="4" w:space="0"/>
            </w:tcBorders>
            <w:vAlign w:val="center"/>
          </w:tcPr>
          <w:p>
            <w:pPr>
              <w:keepNext/>
              <w:keepLines w:val="0"/>
              <w:pageBreakBefore w:val="0"/>
              <w:widowControl w:val="0"/>
              <w:kinsoku w:val="0"/>
              <w:wordWrap/>
              <w:overflowPunct w:val="0"/>
              <w:topLinePunct w:val="0"/>
              <w:autoSpaceDE w:val="0"/>
              <w:autoSpaceDN w:val="0"/>
              <w:bidi w:val="0"/>
              <w:adjustRightInd w:val="0"/>
              <w:snapToGrid w:val="0"/>
              <w:spacing w:line="240" w:lineRule="auto"/>
              <w:jc w:val="center"/>
              <w:textAlignment w:val="center"/>
              <w:rPr>
                <w:color w:val="000000"/>
                <w:sz w:val="24"/>
              </w:rPr>
            </w:pPr>
            <w:r>
              <w:rPr>
                <w:rFonts w:hint="eastAsia"/>
                <w:color w:val="000000"/>
                <w:kern w:val="0"/>
                <w:sz w:val="24"/>
              </w:rPr>
              <w:t>458.33</w:t>
            </w:r>
          </w:p>
        </w:tc>
        <w:tc>
          <w:tcPr>
            <w:tcW w:w="4387" w:type="dxa"/>
            <w:gridSpan w:val="4"/>
            <w:tcBorders>
              <w:top w:val="single" w:color="000000" w:sz="4" w:space="0"/>
              <w:left w:val="single" w:color="000000" w:sz="4" w:space="0"/>
              <w:bottom w:val="single" w:color="000000" w:sz="4" w:space="0"/>
              <w:right w:val="single" w:color="000000" w:sz="4" w:space="0"/>
            </w:tcBorders>
            <w:vAlign w:val="center"/>
          </w:tcPr>
          <w:p>
            <w:pPr>
              <w:keepNext/>
              <w:keepLines w:val="0"/>
              <w:pageBreakBefore w:val="0"/>
              <w:widowControl w:val="0"/>
              <w:kinsoku w:val="0"/>
              <w:wordWrap/>
              <w:overflowPunct w:val="0"/>
              <w:topLinePunct w:val="0"/>
              <w:autoSpaceDE w:val="0"/>
              <w:autoSpaceDN w:val="0"/>
              <w:bidi w:val="0"/>
              <w:adjustRightInd w:val="0"/>
              <w:snapToGrid w:val="0"/>
              <w:spacing w:line="240" w:lineRule="auto"/>
              <w:jc w:val="center"/>
              <w:textAlignment w:val="center"/>
              <w:rPr>
                <w:color w:val="000000"/>
                <w:sz w:val="24"/>
              </w:rPr>
            </w:pPr>
            <w:r>
              <w:rPr>
                <w:rFonts w:hint="eastAsia"/>
                <w:color w:val="000000"/>
                <w:kern w:val="0"/>
                <w:sz w:val="24"/>
              </w:rPr>
              <w:t>0</w:t>
            </w:r>
          </w:p>
        </w:tc>
      </w:tr>
      <w:tr>
        <w:tblPrEx>
          <w:tblCellMar>
            <w:top w:w="15" w:type="dxa"/>
            <w:left w:w="15" w:type="dxa"/>
            <w:bottom w:w="15" w:type="dxa"/>
            <w:right w:w="15" w:type="dxa"/>
          </w:tblCellMar>
        </w:tblPrEx>
        <w:trPr>
          <w:trHeight w:val="23" w:hRule="atLeast"/>
          <w:jc w:val="center"/>
        </w:trPr>
        <w:tc>
          <w:tcPr>
            <w:tcW w:w="1309" w:type="dxa"/>
            <w:tcBorders>
              <w:top w:val="single" w:color="000000" w:sz="4" w:space="0"/>
              <w:left w:val="single" w:color="000000" w:sz="4" w:space="0"/>
              <w:bottom w:val="single" w:color="000000" w:sz="4" w:space="0"/>
              <w:right w:val="single" w:color="000000" w:sz="4" w:space="0"/>
            </w:tcBorders>
            <w:vAlign w:val="center"/>
          </w:tcPr>
          <w:p>
            <w:pPr>
              <w:keepNext/>
              <w:keepLines w:val="0"/>
              <w:pageBreakBefore w:val="0"/>
              <w:widowControl w:val="0"/>
              <w:kinsoku w:val="0"/>
              <w:wordWrap/>
              <w:overflowPunct w:val="0"/>
              <w:topLinePunct w:val="0"/>
              <w:autoSpaceDE w:val="0"/>
              <w:autoSpaceDN w:val="0"/>
              <w:bidi w:val="0"/>
              <w:adjustRightInd w:val="0"/>
              <w:snapToGrid w:val="0"/>
              <w:spacing w:line="240" w:lineRule="auto"/>
              <w:jc w:val="center"/>
              <w:textAlignment w:val="center"/>
              <w:rPr>
                <w:color w:val="000000"/>
                <w:kern w:val="0"/>
                <w:sz w:val="24"/>
              </w:rPr>
            </w:pPr>
            <w:r>
              <w:rPr>
                <w:color w:val="000000"/>
                <w:kern w:val="0"/>
                <w:sz w:val="24"/>
              </w:rPr>
              <w:t>年度总体</w:t>
            </w:r>
          </w:p>
          <w:p>
            <w:pPr>
              <w:keepNext/>
              <w:keepLines w:val="0"/>
              <w:pageBreakBefore w:val="0"/>
              <w:widowControl w:val="0"/>
              <w:kinsoku w:val="0"/>
              <w:wordWrap/>
              <w:overflowPunct w:val="0"/>
              <w:topLinePunct w:val="0"/>
              <w:autoSpaceDE w:val="0"/>
              <w:autoSpaceDN w:val="0"/>
              <w:bidi w:val="0"/>
              <w:adjustRightInd w:val="0"/>
              <w:snapToGrid w:val="0"/>
              <w:spacing w:line="240" w:lineRule="auto"/>
              <w:jc w:val="center"/>
              <w:textAlignment w:val="center"/>
              <w:rPr>
                <w:color w:val="000000"/>
                <w:sz w:val="24"/>
              </w:rPr>
            </w:pPr>
            <w:r>
              <w:rPr>
                <w:color w:val="000000"/>
                <w:kern w:val="0"/>
                <w:sz w:val="24"/>
              </w:rPr>
              <w:t>目标</w:t>
            </w:r>
          </w:p>
        </w:tc>
        <w:tc>
          <w:tcPr>
            <w:tcW w:w="9251" w:type="dxa"/>
            <w:gridSpan w:val="8"/>
            <w:tcBorders>
              <w:top w:val="single" w:color="000000" w:sz="4" w:space="0"/>
              <w:left w:val="single" w:color="000000" w:sz="4" w:space="0"/>
              <w:bottom w:val="single" w:color="000000" w:sz="4" w:space="0"/>
              <w:right w:val="single" w:color="000000" w:sz="4" w:space="0"/>
            </w:tcBorders>
            <w:vAlign w:val="center"/>
          </w:tcPr>
          <w:p>
            <w:pPr>
              <w:keepNext/>
              <w:keepLines w:val="0"/>
              <w:pageBreakBefore w:val="0"/>
              <w:widowControl w:val="0"/>
              <w:kinsoku w:val="0"/>
              <w:wordWrap/>
              <w:overflowPunct w:val="0"/>
              <w:topLinePunct w:val="0"/>
              <w:autoSpaceDE w:val="0"/>
              <w:autoSpaceDN w:val="0"/>
              <w:bidi w:val="0"/>
              <w:adjustRightInd w:val="0"/>
              <w:snapToGrid w:val="0"/>
              <w:spacing w:line="240" w:lineRule="auto"/>
              <w:jc w:val="left"/>
              <w:textAlignment w:val="center"/>
              <w:rPr>
                <w:color w:val="000000"/>
                <w:sz w:val="24"/>
              </w:rPr>
            </w:pPr>
            <w:r>
              <w:rPr>
                <w:rFonts w:hint="eastAsia"/>
                <w:color w:val="000000"/>
                <w:sz w:val="24"/>
              </w:rPr>
              <w:t>严格执行相关政策，保障工资及时、足额发放或社保及时足额缴纳，预算科学合理，减少结余资金。统一调配全市急救资源，维持120指挥调度系统平台正常运行，提高院前急救质量。</w:t>
            </w:r>
          </w:p>
        </w:tc>
      </w:tr>
      <w:tr>
        <w:tblPrEx>
          <w:tblCellMar>
            <w:top w:w="15" w:type="dxa"/>
            <w:left w:w="15" w:type="dxa"/>
            <w:bottom w:w="15" w:type="dxa"/>
            <w:right w:w="15" w:type="dxa"/>
          </w:tblCellMar>
        </w:tblPrEx>
        <w:trPr>
          <w:trHeight w:val="23" w:hRule="atLeast"/>
          <w:jc w:val="center"/>
        </w:trPr>
        <w:tc>
          <w:tcPr>
            <w:tcW w:w="1309" w:type="dxa"/>
            <w:vMerge w:val="restart"/>
            <w:tcBorders>
              <w:top w:val="single" w:color="000000" w:sz="4" w:space="0"/>
              <w:left w:val="single" w:color="000000" w:sz="4" w:space="0"/>
              <w:bottom w:val="single" w:color="000000" w:sz="4" w:space="0"/>
              <w:right w:val="single" w:color="000000" w:sz="4" w:space="0"/>
            </w:tcBorders>
            <w:vAlign w:val="center"/>
          </w:tcPr>
          <w:p>
            <w:pPr>
              <w:keepNext/>
              <w:keepLines w:val="0"/>
              <w:pageBreakBefore w:val="0"/>
              <w:widowControl w:val="0"/>
              <w:kinsoku w:val="0"/>
              <w:wordWrap/>
              <w:overflowPunct w:val="0"/>
              <w:topLinePunct w:val="0"/>
              <w:autoSpaceDE w:val="0"/>
              <w:autoSpaceDN w:val="0"/>
              <w:bidi w:val="0"/>
              <w:adjustRightInd w:val="0"/>
              <w:snapToGrid w:val="0"/>
              <w:spacing w:line="240" w:lineRule="auto"/>
              <w:jc w:val="center"/>
              <w:textAlignment w:val="center"/>
              <w:rPr>
                <w:color w:val="000000"/>
                <w:kern w:val="0"/>
                <w:sz w:val="24"/>
              </w:rPr>
            </w:pPr>
            <w:r>
              <w:rPr>
                <w:color w:val="000000"/>
                <w:kern w:val="0"/>
                <w:sz w:val="24"/>
              </w:rPr>
              <w:t>年度主要</w:t>
            </w:r>
          </w:p>
          <w:p>
            <w:pPr>
              <w:keepNext/>
              <w:keepLines w:val="0"/>
              <w:pageBreakBefore w:val="0"/>
              <w:widowControl w:val="0"/>
              <w:kinsoku w:val="0"/>
              <w:wordWrap/>
              <w:overflowPunct w:val="0"/>
              <w:topLinePunct w:val="0"/>
              <w:autoSpaceDE w:val="0"/>
              <w:autoSpaceDN w:val="0"/>
              <w:bidi w:val="0"/>
              <w:adjustRightInd w:val="0"/>
              <w:snapToGrid w:val="0"/>
              <w:spacing w:line="240" w:lineRule="auto"/>
              <w:jc w:val="center"/>
              <w:textAlignment w:val="center"/>
              <w:rPr>
                <w:color w:val="000000"/>
                <w:sz w:val="24"/>
              </w:rPr>
            </w:pPr>
            <w:r>
              <w:rPr>
                <w:color w:val="000000"/>
                <w:kern w:val="0"/>
                <w:sz w:val="24"/>
              </w:rPr>
              <w:t>任务</w:t>
            </w:r>
          </w:p>
        </w:tc>
        <w:tc>
          <w:tcPr>
            <w:tcW w:w="2620" w:type="dxa"/>
            <w:gridSpan w:val="2"/>
            <w:tcBorders>
              <w:top w:val="single" w:color="000000" w:sz="4" w:space="0"/>
              <w:left w:val="single" w:color="000000" w:sz="4" w:space="0"/>
              <w:bottom w:val="single" w:color="000000" w:sz="4" w:space="0"/>
              <w:right w:val="single" w:color="000000" w:sz="4" w:space="0"/>
            </w:tcBorders>
            <w:vAlign w:val="center"/>
          </w:tcPr>
          <w:p>
            <w:pPr>
              <w:keepNext/>
              <w:keepLines w:val="0"/>
              <w:pageBreakBefore w:val="0"/>
              <w:widowControl w:val="0"/>
              <w:kinsoku w:val="0"/>
              <w:wordWrap/>
              <w:overflowPunct w:val="0"/>
              <w:topLinePunct w:val="0"/>
              <w:autoSpaceDE w:val="0"/>
              <w:autoSpaceDN w:val="0"/>
              <w:bidi w:val="0"/>
              <w:adjustRightInd w:val="0"/>
              <w:snapToGrid w:val="0"/>
              <w:spacing w:line="240" w:lineRule="auto"/>
              <w:jc w:val="center"/>
              <w:textAlignment w:val="center"/>
              <w:rPr>
                <w:color w:val="000000"/>
                <w:sz w:val="24"/>
              </w:rPr>
            </w:pPr>
            <w:r>
              <w:rPr>
                <w:color w:val="000000"/>
                <w:kern w:val="0"/>
                <w:sz w:val="24"/>
              </w:rPr>
              <w:t>任务名称</w:t>
            </w:r>
          </w:p>
        </w:tc>
        <w:tc>
          <w:tcPr>
            <w:tcW w:w="6631" w:type="dxa"/>
            <w:gridSpan w:val="6"/>
            <w:tcBorders>
              <w:top w:val="single" w:color="000000" w:sz="4" w:space="0"/>
              <w:left w:val="single" w:color="000000" w:sz="4" w:space="0"/>
              <w:bottom w:val="single" w:color="000000" w:sz="4" w:space="0"/>
              <w:right w:val="single" w:color="000000" w:sz="4" w:space="0"/>
            </w:tcBorders>
            <w:vAlign w:val="center"/>
          </w:tcPr>
          <w:p>
            <w:pPr>
              <w:keepNext/>
              <w:keepLines w:val="0"/>
              <w:pageBreakBefore w:val="0"/>
              <w:widowControl w:val="0"/>
              <w:kinsoku w:val="0"/>
              <w:wordWrap/>
              <w:overflowPunct w:val="0"/>
              <w:topLinePunct w:val="0"/>
              <w:autoSpaceDE w:val="0"/>
              <w:autoSpaceDN w:val="0"/>
              <w:bidi w:val="0"/>
              <w:adjustRightInd w:val="0"/>
              <w:snapToGrid w:val="0"/>
              <w:spacing w:line="240" w:lineRule="auto"/>
              <w:jc w:val="center"/>
              <w:textAlignment w:val="center"/>
              <w:rPr>
                <w:color w:val="000000"/>
                <w:sz w:val="24"/>
              </w:rPr>
            </w:pPr>
            <w:r>
              <w:rPr>
                <w:color w:val="000000"/>
                <w:kern w:val="0"/>
                <w:sz w:val="24"/>
              </w:rPr>
              <w:t>主要内容</w:t>
            </w:r>
          </w:p>
        </w:tc>
      </w:tr>
      <w:tr>
        <w:tblPrEx>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vAlign w:val="center"/>
          </w:tcPr>
          <w:p>
            <w:pPr>
              <w:keepNext/>
              <w:keepLines w:val="0"/>
              <w:pageBreakBefore w:val="0"/>
              <w:widowControl w:val="0"/>
              <w:kinsoku w:val="0"/>
              <w:wordWrap/>
              <w:overflowPunct w:val="0"/>
              <w:topLinePunct w:val="0"/>
              <w:autoSpaceDE w:val="0"/>
              <w:autoSpaceDN w:val="0"/>
              <w:bidi w:val="0"/>
              <w:adjustRightInd w:val="0"/>
              <w:snapToGrid w:val="0"/>
              <w:spacing w:line="240" w:lineRule="auto"/>
              <w:jc w:val="center"/>
              <w:rPr>
                <w:color w:val="000000"/>
                <w:sz w:val="24"/>
              </w:rPr>
            </w:pPr>
          </w:p>
        </w:tc>
        <w:tc>
          <w:tcPr>
            <w:tcW w:w="2620" w:type="dxa"/>
            <w:gridSpan w:val="2"/>
            <w:tcBorders>
              <w:top w:val="single" w:color="000000" w:sz="4" w:space="0"/>
              <w:left w:val="single" w:color="000000" w:sz="4" w:space="0"/>
              <w:bottom w:val="single" w:color="000000" w:sz="4" w:space="0"/>
              <w:right w:val="single" w:color="000000" w:sz="4" w:space="0"/>
            </w:tcBorders>
            <w:vAlign w:val="center"/>
          </w:tcPr>
          <w:p>
            <w:pPr>
              <w:keepNext/>
              <w:keepLines w:val="0"/>
              <w:pageBreakBefore w:val="0"/>
              <w:widowControl w:val="0"/>
              <w:kinsoku w:val="0"/>
              <w:wordWrap/>
              <w:overflowPunct w:val="0"/>
              <w:topLinePunct w:val="0"/>
              <w:autoSpaceDE w:val="0"/>
              <w:autoSpaceDN w:val="0"/>
              <w:bidi w:val="0"/>
              <w:adjustRightInd w:val="0"/>
              <w:snapToGrid w:val="0"/>
              <w:spacing w:line="240" w:lineRule="auto"/>
              <w:jc w:val="left"/>
              <w:textAlignment w:val="center"/>
              <w:rPr>
                <w:color w:val="000000"/>
                <w:sz w:val="24"/>
              </w:rPr>
            </w:pPr>
            <w:r>
              <w:rPr>
                <w:rFonts w:hint="eastAsia"/>
                <w:color w:val="000000"/>
                <w:sz w:val="24"/>
              </w:rPr>
              <w:t>保障工资、社保足额发放</w:t>
            </w:r>
          </w:p>
        </w:tc>
        <w:tc>
          <w:tcPr>
            <w:tcW w:w="6631" w:type="dxa"/>
            <w:gridSpan w:val="6"/>
            <w:tcBorders>
              <w:top w:val="single" w:color="000000" w:sz="4" w:space="0"/>
              <w:left w:val="single" w:color="000000" w:sz="4" w:space="0"/>
              <w:bottom w:val="single" w:color="000000" w:sz="4" w:space="0"/>
              <w:right w:val="single" w:color="000000" w:sz="4" w:space="0"/>
            </w:tcBorders>
            <w:vAlign w:val="center"/>
          </w:tcPr>
          <w:p>
            <w:pPr>
              <w:keepNext/>
              <w:keepLines w:val="0"/>
              <w:pageBreakBefore w:val="0"/>
              <w:widowControl w:val="0"/>
              <w:kinsoku w:val="0"/>
              <w:wordWrap/>
              <w:overflowPunct w:val="0"/>
              <w:topLinePunct w:val="0"/>
              <w:autoSpaceDE w:val="0"/>
              <w:autoSpaceDN w:val="0"/>
              <w:bidi w:val="0"/>
              <w:adjustRightInd w:val="0"/>
              <w:snapToGrid w:val="0"/>
              <w:spacing w:line="240" w:lineRule="auto"/>
              <w:jc w:val="left"/>
              <w:textAlignment w:val="center"/>
              <w:rPr>
                <w:color w:val="000000"/>
                <w:sz w:val="24"/>
              </w:rPr>
            </w:pPr>
            <w:r>
              <w:rPr>
                <w:rFonts w:hint="eastAsia"/>
                <w:color w:val="000000"/>
                <w:sz w:val="24"/>
              </w:rPr>
              <w:t>严格执行相关政策，保障工资及时、足额发放或社保及时足额缴纳，预算科学合理，减少结余资金。</w:t>
            </w:r>
          </w:p>
        </w:tc>
      </w:tr>
      <w:tr>
        <w:tblPrEx>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vAlign w:val="center"/>
          </w:tcPr>
          <w:p>
            <w:pPr>
              <w:keepNext/>
              <w:keepLines w:val="0"/>
              <w:pageBreakBefore w:val="0"/>
              <w:widowControl w:val="0"/>
              <w:kinsoku w:val="0"/>
              <w:wordWrap/>
              <w:overflowPunct w:val="0"/>
              <w:topLinePunct w:val="0"/>
              <w:autoSpaceDE w:val="0"/>
              <w:autoSpaceDN w:val="0"/>
              <w:bidi w:val="0"/>
              <w:adjustRightInd w:val="0"/>
              <w:snapToGrid w:val="0"/>
              <w:spacing w:line="240" w:lineRule="auto"/>
              <w:jc w:val="center"/>
              <w:rPr>
                <w:color w:val="000000"/>
                <w:sz w:val="24"/>
              </w:rPr>
            </w:pPr>
          </w:p>
        </w:tc>
        <w:tc>
          <w:tcPr>
            <w:tcW w:w="2620" w:type="dxa"/>
            <w:gridSpan w:val="2"/>
            <w:tcBorders>
              <w:top w:val="single" w:color="000000" w:sz="4" w:space="0"/>
              <w:left w:val="single" w:color="000000" w:sz="4" w:space="0"/>
              <w:bottom w:val="single" w:color="000000" w:sz="4" w:space="0"/>
              <w:right w:val="single" w:color="000000" w:sz="4" w:space="0"/>
            </w:tcBorders>
            <w:vAlign w:val="center"/>
          </w:tcPr>
          <w:p>
            <w:pPr>
              <w:keepNext/>
              <w:keepLines w:val="0"/>
              <w:pageBreakBefore w:val="0"/>
              <w:widowControl w:val="0"/>
              <w:kinsoku w:val="0"/>
              <w:wordWrap/>
              <w:overflowPunct w:val="0"/>
              <w:topLinePunct w:val="0"/>
              <w:autoSpaceDE w:val="0"/>
              <w:autoSpaceDN w:val="0"/>
              <w:bidi w:val="0"/>
              <w:adjustRightInd w:val="0"/>
              <w:snapToGrid w:val="0"/>
              <w:spacing w:line="240" w:lineRule="auto"/>
              <w:jc w:val="left"/>
              <w:rPr>
                <w:color w:val="000000"/>
                <w:sz w:val="24"/>
              </w:rPr>
            </w:pPr>
            <w:r>
              <w:rPr>
                <w:rFonts w:hint="eastAsia"/>
                <w:color w:val="000000"/>
                <w:sz w:val="24"/>
              </w:rPr>
              <w:t>保持120调度指挥系统正常运行</w:t>
            </w:r>
          </w:p>
        </w:tc>
        <w:tc>
          <w:tcPr>
            <w:tcW w:w="6631" w:type="dxa"/>
            <w:gridSpan w:val="6"/>
            <w:tcBorders>
              <w:top w:val="single" w:color="000000" w:sz="4" w:space="0"/>
              <w:left w:val="single" w:color="000000" w:sz="4" w:space="0"/>
              <w:bottom w:val="single" w:color="000000" w:sz="4" w:space="0"/>
              <w:right w:val="single" w:color="000000" w:sz="4" w:space="0"/>
            </w:tcBorders>
            <w:vAlign w:val="center"/>
          </w:tcPr>
          <w:p>
            <w:pPr>
              <w:keepNext/>
              <w:keepLines w:val="0"/>
              <w:pageBreakBefore w:val="0"/>
              <w:widowControl w:val="0"/>
              <w:kinsoku w:val="0"/>
              <w:wordWrap/>
              <w:overflowPunct w:val="0"/>
              <w:topLinePunct w:val="0"/>
              <w:autoSpaceDE w:val="0"/>
              <w:autoSpaceDN w:val="0"/>
              <w:bidi w:val="0"/>
              <w:adjustRightInd w:val="0"/>
              <w:snapToGrid w:val="0"/>
              <w:spacing w:line="240" w:lineRule="auto"/>
              <w:jc w:val="left"/>
              <w:rPr>
                <w:color w:val="000000"/>
                <w:sz w:val="24"/>
              </w:rPr>
            </w:pPr>
            <w:r>
              <w:rPr>
                <w:rFonts w:hint="eastAsia"/>
                <w:color w:val="000000"/>
                <w:sz w:val="24"/>
              </w:rPr>
              <w:t>统一调配全市急救资源，维持120指挥调度系统平台正常运行，提高院前急救质量。</w:t>
            </w:r>
          </w:p>
        </w:tc>
      </w:tr>
      <w:tr>
        <w:tblPrEx>
          <w:tblCellMar>
            <w:top w:w="15" w:type="dxa"/>
            <w:left w:w="15" w:type="dxa"/>
            <w:bottom w:w="15" w:type="dxa"/>
            <w:right w:w="15" w:type="dxa"/>
          </w:tblCellMar>
        </w:tblPrEx>
        <w:trPr>
          <w:trHeight w:val="23" w:hRule="atLeast"/>
          <w:jc w:val="center"/>
        </w:trPr>
        <w:tc>
          <w:tcPr>
            <w:tcW w:w="1309" w:type="dxa"/>
            <w:vMerge w:val="restart"/>
            <w:tcBorders>
              <w:top w:val="single" w:color="000000" w:sz="4" w:space="0"/>
              <w:left w:val="single" w:color="000000" w:sz="4" w:space="0"/>
              <w:bottom w:val="single" w:color="000000" w:sz="4" w:space="0"/>
              <w:right w:val="single" w:color="000000" w:sz="4" w:space="0"/>
            </w:tcBorders>
            <w:vAlign w:val="center"/>
          </w:tcPr>
          <w:p>
            <w:pPr>
              <w:keepNext/>
              <w:keepLines w:val="0"/>
              <w:pageBreakBefore w:val="0"/>
              <w:widowControl w:val="0"/>
              <w:kinsoku w:val="0"/>
              <w:wordWrap/>
              <w:overflowPunct w:val="0"/>
              <w:topLinePunct w:val="0"/>
              <w:autoSpaceDE w:val="0"/>
              <w:autoSpaceDN w:val="0"/>
              <w:bidi w:val="0"/>
              <w:adjustRightInd w:val="0"/>
              <w:snapToGrid w:val="0"/>
              <w:spacing w:line="240" w:lineRule="auto"/>
              <w:jc w:val="center"/>
              <w:textAlignment w:val="center"/>
              <w:rPr>
                <w:color w:val="000000"/>
                <w:kern w:val="0"/>
                <w:sz w:val="24"/>
              </w:rPr>
            </w:pPr>
            <w:r>
              <w:rPr>
                <w:color w:val="000000"/>
                <w:kern w:val="0"/>
                <w:sz w:val="24"/>
              </w:rPr>
              <w:t>年度绩效</w:t>
            </w:r>
          </w:p>
          <w:p>
            <w:pPr>
              <w:keepNext/>
              <w:keepLines w:val="0"/>
              <w:pageBreakBefore w:val="0"/>
              <w:widowControl w:val="0"/>
              <w:kinsoku w:val="0"/>
              <w:wordWrap/>
              <w:overflowPunct w:val="0"/>
              <w:topLinePunct w:val="0"/>
              <w:autoSpaceDE w:val="0"/>
              <w:autoSpaceDN w:val="0"/>
              <w:bidi w:val="0"/>
              <w:adjustRightInd w:val="0"/>
              <w:snapToGrid w:val="0"/>
              <w:spacing w:line="240" w:lineRule="auto"/>
              <w:jc w:val="center"/>
              <w:textAlignment w:val="center"/>
              <w:rPr>
                <w:color w:val="000000"/>
                <w:sz w:val="24"/>
              </w:rPr>
            </w:pPr>
            <w:r>
              <w:rPr>
                <w:color w:val="000000"/>
                <w:kern w:val="0"/>
                <w:sz w:val="24"/>
              </w:rPr>
              <w:t>指标</w:t>
            </w:r>
          </w:p>
        </w:tc>
        <w:tc>
          <w:tcPr>
            <w:tcW w:w="1347" w:type="dxa"/>
            <w:tcBorders>
              <w:top w:val="single" w:color="000000" w:sz="4" w:space="0"/>
              <w:left w:val="single" w:color="000000" w:sz="4" w:space="0"/>
              <w:bottom w:val="single" w:color="000000" w:sz="4" w:space="0"/>
              <w:right w:val="single" w:color="000000" w:sz="4" w:space="0"/>
            </w:tcBorders>
            <w:vAlign w:val="center"/>
          </w:tcPr>
          <w:p>
            <w:pPr>
              <w:keepNext/>
              <w:keepLines w:val="0"/>
              <w:pageBreakBefore w:val="0"/>
              <w:widowControl w:val="0"/>
              <w:kinsoku w:val="0"/>
              <w:wordWrap/>
              <w:overflowPunct w:val="0"/>
              <w:topLinePunct w:val="0"/>
              <w:autoSpaceDE w:val="0"/>
              <w:autoSpaceDN w:val="0"/>
              <w:bidi w:val="0"/>
              <w:adjustRightInd w:val="0"/>
              <w:snapToGrid w:val="0"/>
              <w:spacing w:line="240" w:lineRule="auto"/>
              <w:jc w:val="center"/>
              <w:textAlignment w:val="center"/>
              <w:rPr>
                <w:color w:val="000000"/>
                <w:sz w:val="24"/>
              </w:rPr>
            </w:pPr>
            <w:r>
              <w:rPr>
                <w:color w:val="000000"/>
                <w:kern w:val="0"/>
                <w:sz w:val="24"/>
              </w:rPr>
              <w:t>一级指标</w:t>
            </w:r>
          </w:p>
        </w:tc>
        <w:tc>
          <w:tcPr>
            <w:tcW w:w="1273" w:type="dxa"/>
            <w:tcBorders>
              <w:top w:val="single" w:color="000000" w:sz="4" w:space="0"/>
              <w:left w:val="single" w:color="000000" w:sz="4" w:space="0"/>
              <w:bottom w:val="single" w:color="000000" w:sz="4" w:space="0"/>
              <w:right w:val="single" w:color="000000" w:sz="4" w:space="0"/>
            </w:tcBorders>
            <w:vAlign w:val="center"/>
          </w:tcPr>
          <w:p>
            <w:pPr>
              <w:keepNext/>
              <w:keepLines w:val="0"/>
              <w:pageBreakBefore w:val="0"/>
              <w:widowControl w:val="0"/>
              <w:kinsoku w:val="0"/>
              <w:wordWrap/>
              <w:overflowPunct w:val="0"/>
              <w:topLinePunct w:val="0"/>
              <w:autoSpaceDE w:val="0"/>
              <w:autoSpaceDN w:val="0"/>
              <w:bidi w:val="0"/>
              <w:adjustRightInd w:val="0"/>
              <w:snapToGrid w:val="0"/>
              <w:spacing w:line="240" w:lineRule="auto"/>
              <w:jc w:val="center"/>
              <w:textAlignment w:val="center"/>
              <w:rPr>
                <w:color w:val="000000"/>
                <w:sz w:val="24"/>
              </w:rPr>
            </w:pPr>
            <w:r>
              <w:rPr>
                <w:color w:val="000000"/>
                <w:kern w:val="0"/>
                <w:sz w:val="24"/>
              </w:rPr>
              <w:t>二级指标</w:t>
            </w:r>
          </w:p>
        </w:tc>
        <w:tc>
          <w:tcPr>
            <w:tcW w:w="1100" w:type="dxa"/>
            <w:tcBorders>
              <w:top w:val="single" w:color="000000" w:sz="4" w:space="0"/>
              <w:left w:val="single" w:color="000000" w:sz="4" w:space="0"/>
              <w:bottom w:val="single" w:color="000000" w:sz="4" w:space="0"/>
              <w:right w:val="single" w:color="000000" w:sz="4" w:space="0"/>
            </w:tcBorders>
            <w:vAlign w:val="center"/>
          </w:tcPr>
          <w:p>
            <w:pPr>
              <w:keepNext/>
              <w:keepLines w:val="0"/>
              <w:pageBreakBefore w:val="0"/>
              <w:widowControl w:val="0"/>
              <w:kinsoku w:val="0"/>
              <w:wordWrap/>
              <w:overflowPunct w:val="0"/>
              <w:topLinePunct w:val="0"/>
              <w:autoSpaceDE w:val="0"/>
              <w:autoSpaceDN w:val="0"/>
              <w:bidi w:val="0"/>
              <w:adjustRightInd w:val="0"/>
              <w:snapToGrid w:val="0"/>
              <w:spacing w:line="240" w:lineRule="auto"/>
              <w:jc w:val="center"/>
              <w:textAlignment w:val="center"/>
              <w:rPr>
                <w:color w:val="000000"/>
                <w:sz w:val="24"/>
              </w:rPr>
            </w:pPr>
            <w:r>
              <w:rPr>
                <w:color w:val="000000"/>
                <w:kern w:val="0"/>
                <w:sz w:val="24"/>
              </w:rPr>
              <w:t>三级指标</w:t>
            </w:r>
          </w:p>
        </w:tc>
        <w:tc>
          <w:tcPr>
            <w:tcW w:w="1145" w:type="dxa"/>
            <w:tcBorders>
              <w:top w:val="single" w:color="000000" w:sz="4" w:space="0"/>
              <w:left w:val="single" w:color="000000" w:sz="4" w:space="0"/>
              <w:bottom w:val="single" w:color="000000" w:sz="4" w:space="0"/>
              <w:right w:val="single" w:color="000000" w:sz="4" w:space="0"/>
            </w:tcBorders>
            <w:vAlign w:val="center"/>
          </w:tcPr>
          <w:p>
            <w:pPr>
              <w:keepNext/>
              <w:keepLines w:val="0"/>
              <w:pageBreakBefore w:val="0"/>
              <w:widowControl w:val="0"/>
              <w:kinsoku w:val="0"/>
              <w:wordWrap/>
              <w:overflowPunct w:val="0"/>
              <w:topLinePunct w:val="0"/>
              <w:autoSpaceDE w:val="0"/>
              <w:autoSpaceDN w:val="0"/>
              <w:bidi w:val="0"/>
              <w:adjustRightInd w:val="0"/>
              <w:snapToGrid w:val="0"/>
              <w:spacing w:line="240" w:lineRule="auto"/>
              <w:jc w:val="center"/>
              <w:textAlignment w:val="center"/>
              <w:rPr>
                <w:color w:val="000000"/>
                <w:kern w:val="0"/>
                <w:sz w:val="24"/>
              </w:rPr>
            </w:pPr>
            <w:r>
              <w:rPr>
                <w:color w:val="000000"/>
                <w:kern w:val="0"/>
                <w:sz w:val="24"/>
              </w:rPr>
              <w:t>绩效指标</w:t>
            </w:r>
          </w:p>
          <w:p>
            <w:pPr>
              <w:keepNext/>
              <w:keepLines w:val="0"/>
              <w:pageBreakBefore w:val="0"/>
              <w:widowControl w:val="0"/>
              <w:kinsoku w:val="0"/>
              <w:wordWrap/>
              <w:overflowPunct w:val="0"/>
              <w:topLinePunct w:val="0"/>
              <w:autoSpaceDE w:val="0"/>
              <w:autoSpaceDN w:val="0"/>
              <w:bidi w:val="0"/>
              <w:adjustRightInd w:val="0"/>
              <w:snapToGrid w:val="0"/>
              <w:spacing w:line="240" w:lineRule="auto"/>
              <w:jc w:val="center"/>
              <w:textAlignment w:val="center"/>
              <w:rPr>
                <w:color w:val="000000"/>
                <w:sz w:val="24"/>
              </w:rPr>
            </w:pPr>
            <w:r>
              <w:rPr>
                <w:color w:val="000000"/>
                <w:kern w:val="0"/>
                <w:sz w:val="24"/>
              </w:rPr>
              <w:t>性质</w:t>
            </w:r>
          </w:p>
        </w:tc>
        <w:tc>
          <w:tcPr>
            <w:tcW w:w="1289" w:type="dxa"/>
            <w:tcBorders>
              <w:top w:val="single" w:color="000000" w:sz="4" w:space="0"/>
              <w:left w:val="single" w:color="000000" w:sz="4" w:space="0"/>
              <w:bottom w:val="single" w:color="000000" w:sz="4" w:space="0"/>
              <w:right w:val="single" w:color="000000" w:sz="4" w:space="0"/>
            </w:tcBorders>
            <w:vAlign w:val="center"/>
          </w:tcPr>
          <w:p>
            <w:pPr>
              <w:keepNext/>
              <w:keepLines w:val="0"/>
              <w:pageBreakBefore w:val="0"/>
              <w:widowControl w:val="0"/>
              <w:kinsoku w:val="0"/>
              <w:wordWrap/>
              <w:overflowPunct w:val="0"/>
              <w:topLinePunct w:val="0"/>
              <w:autoSpaceDE w:val="0"/>
              <w:autoSpaceDN w:val="0"/>
              <w:bidi w:val="0"/>
              <w:adjustRightInd w:val="0"/>
              <w:snapToGrid w:val="0"/>
              <w:spacing w:line="240" w:lineRule="auto"/>
              <w:jc w:val="center"/>
              <w:textAlignment w:val="center"/>
              <w:rPr>
                <w:color w:val="000000"/>
                <w:sz w:val="24"/>
              </w:rPr>
            </w:pPr>
            <w:r>
              <w:rPr>
                <w:color w:val="000000"/>
                <w:kern w:val="0"/>
                <w:sz w:val="24"/>
              </w:rPr>
              <w:t>绩效指标值</w:t>
            </w:r>
          </w:p>
        </w:tc>
        <w:tc>
          <w:tcPr>
            <w:tcW w:w="1058" w:type="dxa"/>
            <w:tcBorders>
              <w:top w:val="single" w:color="000000" w:sz="4" w:space="0"/>
              <w:left w:val="single" w:color="000000" w:sz="4" w:space="0"/>
              <w:bottom w:val="single" w:color="000000" w:sz="4" w:space="0"/>
              <w:right w:val="single" w:color="000000" w:sz="4" w:space="0"/>
            </w:tcBorders>
            <w:vAlign w:val="center"/>
          </w:tcPr>
          <w:p>
            <w:pPr>
              <w:keepNext/>
              <w:keepLines w:val="0"/>
              <w:pageBreakBefore w:val="0"/>
              <w:widowControl w:val="0"/>
              <w:kinsoku w:val="0"/>
              <w:wordWrap/>
              <w:overflowPunct w:val="0"/>
              <w:topLinePunct w:val="0"/>
              <w:autoSpaceDE w:val="0"/>
              <w:autoSpaceDN w:val="0"/>
              <w:bidi w:val="0"/>
              <w:adjustRightInd w:val="0"/>
              <w:snapToGrid w:val="0"/>
              <w:spacing w:line="240" w:lineRule="auto"/>
              <w:jc w:val="center"/>
              <w:textAlignment w:val="center"/>
              <w:rPr>
                <w:color w:val="000000"/>
                <w:sz w:val="24"/>
              </w:rPr>
            </w:pPr>
            <w:r>
              <w:rPr>
                <w:color w:val="000000"/>
                <w:kern w:val="0"/>
                <w:sz w:val="24"/>
              </w:rPr>
              <w:t>绩效度量单位</w:t>
            </w:r>
          </w:p>
        </w:tc>
        <w:tc>
          <w:tcPr>
            <w:tcW w:w="926" w:type="dxa"/>
            <w:tcBorders>
              <w:top w:val="single" w:color="000000" w:sz="4" w:space="0"/>
              <w:left w:val="single" w:color="000000" w:sz="4" w:space="0"/>
              <w:bottom w:val="single" w:color="000000" w:sz="4" w:space="0"/>
            </w:tcBorders>
            <w:vAlign w:val="center"/>
          </w:tcPr>
          <w:p>
            <w:pPr>
              <w:keepNext/>
              <w:keepLines w:val="0"/>
              <w:pageBreakBefore w:val="0"/>
              <w:widowControl w:val="0"/>
              <w:kinsoku w:val="0"/>
              <w:wordWrap/>
              <w:overflowPunct w:val="0"/>
              <w:topLinePunct w:val="0"/>
              <w:autoSpaceDE w:val="0"/>
              <w:autoSpaceDN w:val="0"/>
              <w:bidi w:val="0"/>
              <w:adjustRightInd w:val="0"/>
              <w:snapToGrid w:val="0"/>
              <w:spacing w:line="240" w:lineRule="auto"/>
              <w:jc w:val="center"/>
              <w:textAlignment w:val="center"/>
              <w:rPr>
                <w:color w:val="000000"/>
                <w:sz w:val="24"/>
              </w:rPr>
            </w:pPr>
            <w:r>
              <w:rPr>
                <w:color w:val="000000"/>
                <w:kern w:val="0"/>
                <w:sz w:val="24"/>
              </w:rPr>
              <w:t>权重</w:t>
            </w:r>
          </w:p>
        </w:tc>
        <w:tc>
          <w:tcPr>
            <w:tcW w:w="1113" w:type="dxa"/>
            <w:tcBorders>
              <w:top w:val="single" w:color="000000" w:sz="4" w:space="0"/>
              <w:left w:val="single" w:color="000000" w:sz="4" w:space="0"/>
              <w:bottom w:val="single" w:color="000000" w:sz="4" w:space="0"/>
              <w:right w:val="single" w:color="000000" w:sz="4" w:space="0"/>
            </w:tcBorders>
            <w:vAlign w:val="center"/>
          </w:tcPr>
          <w:p>
            <w:pPr>
              <w:keepNext/>
              <w:keepLines w:val="0"/>
              <w:pageBreakBefore w:val="0"/>
              <w:widowControl w:val="0"/>
              <w:kinsoku w:val="0"/>
              <w:wordWrap/>
              <w:overflowPunct w:val="0"/>
              <w:topLinePunct w:val="0"/>
              <w:autoSpaceDE w:val="0"/>
              <w:autoSpaceDN w:val="0"/>
              <w:bidi w:val="0"/>
              <w:adjustRightInd w:val="0"/>
              <w:snapToGrid w:val="0"/>
              <w:spacing w:line="240" w:lineRule="auto"/>
              <w:jc w:val="center"/>
              <w:textAlignment w:val="center"/>
              <w:rPr>
                <w:color w:val="000000"/>
                <w:kern w:val="0"/>
                <w:sz w:val="24"/>
              </w:rPr>
            </w:pPr>
            <w:r>
              <w:rPr>
                <w:color w:val="000000"/>
                <w:kern w:val="0"/>
                <w:sz w:val="24"/>
              </w:rPr>
              <w:t>实际完成</w:t>
            </w:r>
          </w:p>
          <w:p>
            <w:pPr>
              <w:keepNext/>
              <w:keepLines w:val="0"/>
              <w:pageBreakBefore w:val="0"/>
              <w:widowControl w:val="0"/>
              <w:kinsoku w:val="0"/>
              <w:wordWrap/>
              <w:overflowPunct w:val="0"/>
              <w:topLinePunct w:val="0"/>
              <w:autoSpaceDE w:val="0"/>
              <w:autoSpaceDN w:val="0"/>
              <w:bidi w:val="0"/>
              <w:adjustRightInd w:val="0"/>
              <w:snapToGrid w:val="0"/>
              <w:spacing w:line="240" w:lineRule="auto"/>
              <w:jc w:val="center"/>
              <w:textAlignment w:val="center"/>
              <w:rPr>
                <w:color w:val="000000"/>
                <w:sz w:val="24"/>
              </w:rPr>
            </w:pPr>
            <w:r>
              <w:rPr>
                <w:color w:val="000000"/>
                <w:kern w:val="0"/>
                <w:sz w:val="24"/>
              </w:rPr>
              <w:t>指标值</w:t>
            </w:r>
          </w:p>
        </w:tc>
      </w:tr>
      <w:tr>
        <w:tblPrEx>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vAlign w:val="center"/>
          </w:tcPr>
          <w:p>
            <w:pPr>
              <w:keepNext/>
              <w:keepLines w:val="0"/>
              <w:pageBreakBefore w:val="0"/>
              <w:widowControl w:val="0"/>
              <w:kinsoku w:val="0"/>
              <w:wordWrap/>
              <w:overflowPunct w:val="0"/>
              <w:topLinePunct w:val="0"/>
              <w:autoSpaceDE w:val="0"/>
              <w:autoSpaceDN w:val="0"/>
              <w:bidi w:val="0"/>
              <w:adjustRightInd w:val="0"/>
              <w:snapToGrid w:val="0"/>
              <w:spacing w:line="240" w:lineRule="auto"/>
              <w:jc w:val="center"/>
              <w:rPr>
                <w:color w:val="000000"/>
                <w:sz w:val="24"/>
              </w:rPr>
            </w:pPr>
          </w:p>
        </w:tc>
        <w:tc>
          <w:tcPr>
            <w:tcW w:w="1347" w:type="dxa"/>
            <w:vMerge w:val="restart"/>
            <w:tcBorders>
              <w:top w:val="single" w:color="000000" w:sz="4" w:space="0"/>
              <w:left w:val="single" w:color="000000" w:sz="4" w:space="0"/>
              <w:bottom w:val="single" w:color="000000" w:sz="4" w:space="0"/>
              <w:right w:val="single" w:color="000000" w:sz="4" w:space="0"/>
            </w:tcBorders>
            <w:vAlign w:val="center"/>
          </w:tcPr>
          <w:p>
            <w:pPr>
              <w:keepNext/>
              <w:keepLines w:val="0"/>
              <w:pageBreakBefore w:val="0"/>
              <w:widowControl w:val="0"/>
              <w:kinsoku w:val="0"/>
              <w:wordWrap/>
              <w:overflowPunct w:val="0"/>
              <w:topLinePunct w:val="0"/>
              <w:autoSpaceDE w:val="0"/>
              <w:autoSpaceDN w:val="0"/>
              <w:bidi w:val="0"/>
              <w:adjustRightInd w:val="0"/>
              <w:snapToGrid w:val="0"/>
              <w:spacing w:line="240" w:lineRule="auto"/>
              <w:jc w:val="center"/>
              <w:textAlignment w:val="center"/>
              <w:rPr>
                <w:color w:val="000000"/>
                <w:sz w:val="24"/>
              </w:rPr>
            </w:pPr>
            <w:r>
              <w:rPr>
                <w:color w:val="000000"/>
                <w:kern w:val="0"/>
                <w:sz w:val="24"/>
              </w:rPr>
              <w:t>产出指标</w:t>
            </w:r>
          </w:p>
        </w:tc>
        <w:tc>
          <w:tcPr>
            <w:tcW w:w="1273" w:type="dxa"/>
            <w:vMerge w:val="restart"/>
            <w:tcBorders>
              <w:top w:val="single" w:color="000000" w:sz="4" w:space="0"/>
              <w:left w:val="single" w:color="000000" w:sz="4" w:space="0"/>
              <w:bottom w:val="single" w:color="000000" w:sz="4" w:space="0"/>
              <w:right w:val="single" w:color="000000" w:sz="4" w:space="0"/>
            </w:tcBorders>
            <w:vAlign w:val="center"/>
          </w:tcPr>
          <w:p>
            <w:pPr>
              <w:keepNext/>
              <w:keepLines w:val="0"/>
              <w:pageBreakBefore w:val="0"/>
              <w:widowControl w:val="0"/>
              <w:kinsoku w:val="0"/>
              <w:wordWrap/>
              <w:overflowPunct w:val="0"/>
              <w:topLinePunct w:val="0"/>
              <w:autoSpaceDE w:val="0"/>
              <w:autoSpaceDN w:val="0"/>
              <w:bidi w:val="0"/>
              <w:adjustRightInd w:val="0"/>
              <w:snapToGrid w:val="0"/>
              <w:spacing w:line="240" w:lineRule="auto"/>
              <w:jc w:val="center"/>
              <w:textAlignment w:val="center"/>
              <w:rPr>
                <w:color w:val="000000"/>
                <w:sz w:val="24"/>
              </w:rPr>
            </w:pPr>
            <w:r>
              <w:rPr>
                <w:color w:val="000000"/>
                <w:kern w:val="0"/>
                <w:sz w:val="24"/>
              </w:rPr>
              <w:t>数量指标</w:t>
            </w:r>
          </w:p>
        </w:tc>
        <w:tc>
          <w:tcPr>
            <w:tcW w:w="1100" w:type="dxa"/>
            <w:tcBorders>
              <w:top w:val="single" w:color="000000" w:sz="4" w:space="0"/>
              <w:left w:val="single" w:color="000000" w:sz="4" w:space="0"/>
              <w:bottom w:val="single" w:color="000000" w:sz="4" w:space="0"/>
              <w:right w:val="single" w:color="000000" w:sz="4" w:space="0"/>
            </w:tcBorders>
            <w:vAlign w:val="center"/>
          </w:tcPr>
          <w:p>
            <w:pPr>
              <w:keepNext/>
              <w:keepLines w:val="0"/>
              <w:pageBreakBefore w:val="0"/>
              <w:widowControl w:val="0"/>
              <w:kinsoku w:val="0"/>
              <w:wordWrap/>
              <w:overflowPunct w:val="0"/>
              <w:topLinePunct w:val="0"/>
              <w:autoSpaceDE w:val="0"/>
              <w:autoSpaceDN w:val="0"/>
              <w:bidi w:val="0"/>
              <w:adjustRightInd w:val="0"/>
              <w:snapToGrid w:val="0"/>
              <w:spacing w:line="240" w:lineRule="auto"/>
              <w:jc w:val="left"/>
              <w:textAlignment w:val="center"/>
              <w:rPr>
                <w:color w:val="000000"/>
                <w:sz w:val="24"/>
              </w:rPr>
            </w:pPr>
            <w:r>
              <w:rPr>
                <w:rFonts w:hint="eastAsia"/>
                <w:color w:val="000000"/>
                <w:kern w:val="0"/>
                <w:sz w:val="24"/>
              </w:rPr>
              <w:t>预算执行指标</w:t>
            </w:r>
          </w:p>
        </w:tc>
        <w:tc>
          <w:tcPr>
            <w:tcW w:w="1145" w:type="dxa"/>
            <w:tcBorders>
              <w:top w:val="single" w:color="000000" w:sz="4" w:space="0"/>
              <w:left w:val="single" w:color="000000" w:sz="4" w:space="0"/>
              <w:bottom w:val="single" w:color="000000" w:sz="4" w:space="0"/>
              <w:right w:val="single" w:color="000000" w:sz="4" w:space="0"/>
            </w:tcBorders>
            <w:vAlign w:val="center"/>
          </w:tcPr>
          <w:p>
            <w:pPr>
              <w:keepNext/>
              <w:keepLines w:val="0"/>
              <w:pageBreakBefore w:val="0"/>
              <w:widowControl w:val="0"/>
              <w:kinsoku w:val="0"/>
              <w:wordWrap/>
              <w:overflowPunct w:val="0"/>
              <w:topLinePunct w:val="0"/>
              <w:autoSpaceDE w:val="0"/>
              <w:autoSpaceDN w:val="0"/>
              <w:bidi w:val="0"/>
              <w:adjustRightInd w:val="0"/>
              <w:snapToGrid w:val="0"/>
              <w:spacing w:line="240" w:lineRule="auto"/>
              <w:jc w:val="left"/>
              <w:textAlignment w:val="center"/>
              <w:rPr>
                <w:color w:val="000000"/>
                <w:sz w:val="24"/>
              </w:rPr>
            </w:pPr>
            <w:r>
              <w:rPr>
                <w:rFonts w:hint="eastAsia"/>
                <w:color w:val="000000"/>
                <w:kern w:val="0"/>
                <w:sz w:val="24"/>
              </w:rPr>
              <w:t>预算执行率</w:t>
            </w:r>
          </w:p>
        </w:tc>
        <w:tc>
          <w:tcPr>
            <w:tcW w:w="1289" w:type="dxa"/>
            <w:tcBorders>
              <w:top w:val="single" w:color="000000" w:sz="4" w:space="0"/>
              <w:left w:val="single" w:color="000000" w:sz="4" w:space="0"/>
              <w:bottom w:val="single" w:color="000000" w:sz="4" w:space="0"/>
              <w:right w:val="single" w:color="000000" w:sz="4" w:space="0"/>
            </w:tcBorders>
            <w:vAlign w:val="center"/>
          </w:tcPr>
          <w:p>
            <w:pPr>
              <w:keepNext/>
              <w:keepLines w:val="0"/>
              <w:pageBreakBefore w:val="0"/>
              <w:widowControl w:val="0"/>
              <w:kinsoku w:val="0"/>
              <w:wordWrap/>
              <w:overflowPunct w:val="0"/>
              <w:topLinePunct w:val="0"/>
              <w:autoSpaceDE w:val="0"/>
              <w:autoSpaceDN w:val="0"/>
              <w:bidi w:val="0"/>
              <w:adjustRightInd w:val="0"/>
              <w:snapToGrid w:val="0"/>
              <w:spacing w:line="240" w:lineRule="auto"/>
              <w:jc w:val="left"/>
              <w:textAlignment w:val="center"/>
              <w:rPr>
                <w:color w:val="000000"/>
                <w:sz w:val="24"/>
              </w:rPr>
            </w:pPr>
            <w:r>
              <w:rPr>
                <w:rFonts w:hint="eastAsia"/>
                <w:color w:val="000000"/>
                <w:sz w:val="24"/>
              </w:rPr>
              <w:t>≥98</w:t>
            </w:r>
          </w:p>
        </w:tc>
        <w:tc>
          <w:tcPr>
            <w:tcW w:w="1058" w:type="dxa"/>
            <w:tcBorders>
              <w:top w:val="single" w:color="000000" w:sz="4" w:space="0"/>
              <w:left w:val="single" w:color="000000" w:sz="4" w:space="0"/>
              <w:bottom w:val="single" w:color="000000" w:sz="4" w:space="0"/>
              <w:right w:val="single" w:color="000000" w:sz="4" w:space="0"/>
            </w:tcBorders>
            <w:vAlign w:val="center"/>
          </w:tcPr>
          <w:p>
            <w:pPr>
              <w:keepNext/>
              <w:keepLines w:val="0"/>
              <w:pageBreakBefore w:val="0"/>
              <w:widowControl w:val="0"/>
              <w:kinsoku w:val="0"/>
              <w:wordWrap/>
              <w:overflowPunct w:val="0"/>
              <w:topLinePunct w:val="0"/>
              <w:autoSpaceDE w:val="0"/>
              <w:autoSpaceDN w:val="0"/>
              <w:bidi w:val="0"/>
              <w:adjustRightInd w:val="0"/>
              <w:snapToGrid w:val="0"/>
              <w:spacing w:line="240" w:lineRule="auto"/>
              <w:jc w:val="left"/>
              <w:textAlignment w:val="center"/>
              <w:rPr>
                <w:color w:val="000000"/>
                <w:sz w:val="24"/>
              </w:rPr>
            </w:pPr>
            <w:r>
              <w:rPr>
                <w:rFonts w:hint="eastAsia"/>
                <w:color w:val="000000"/>
                <w:kern w:val="0"/>
                <w:sz w:val="24"/>
              </w:rPr>
              <w:t>%</w:t>
            </w:r>
          </w:p>
        </w:tc>
        <w:tc>
          <w:tcPr>
            <w:tcW w:w="926" w:type="dxa"/>
            <w:tcBorders>
              <w:top w:val="single" w:color="000000" w:sz="4" w:space="0"/>
              <w:left w:val="single" w:color="000000" w:sz="4" w:space="0"/>
              <w:bottom w:val="single" w:color="000000" w:sz="4" w:space="0"/>
              <w:right w:val="single" w:color="000000" w:sz="4" w:space="0"/>
            </w:tcBorders>
            <w:vAlign w:val="center"/>
          </w:tcPr>
          <w:p>
            <w:pPr>
              <w:keepNext/>
              <w:keepLines w:val="0"/>
              <w:pageBreakBefore w:val="0"/>
              <w:widowControl w:val="0"/>
              <w:kinsoku w:val="0"/>
              <w:wordWrap/>
              <w:overflowPunct w:val="0"/>
              <w:topLinePunct w:val="0"/>
              <w:autoSpaceDE w:val="0"/>
              <w:autoSpaceDN w:val="0"/>
              <w:bidi w:val="0"/>
              <w:adjustRightInd w:val="0"/>
              <w:snapToGrid w:val="0"/>
              <w:spacing w:line="240" w:lineRule="auto"/>
              <w:jc w:val="left"/>
              <w:textAlignment w:val="center"/>
              <w:rPr>
                <w:color w:val="000000"/>
                <w:sz w:val="24"/>
              </w:rPr>
            </w:pPr>
            <w:r>
              <w:rPr>
                <w:rFonts w:hint="eastAsia"/>
                <w:color w:val="000000"/>
                <w:kern w:val="0"/>
                <w:sz w:val="24"/>
              </w:rPr>
              <w:t>15</w:t>
            </w:r>
          </w:p>
        </w:tc>
        <w:tc>
          <w:tcPr>
            <w:tcW w:w="1113" w:type="dxa"/>
            <w:tcBorders>
              <w:left w:val="single" w:color="000000" w:sz="4" w:space="0"/>
              <w:bottom w:val="single" w:color="000000" w:sz="4" w:space="0"/>
              <w:right w:val="single" w:color="000000" w:sz="4" w:space="0"/>
            </w:tcBorders>
            <w:vAlign w:val="center"/>
          </w:tcPr>
          <w:p>
            <w:pPr>
              <w:keepNext/>
              <w:keepLines w:val="0"/>
              <w:pageBreakBefore w:val="0"/>
              <w:widowControl w:val="0"/>
              <w:kinsoku w:val="0"/>
              <w:wordWrap/>
              <w:overflowPunct w:val="0"/>
              <w:topLinePunct w:val="0"/>
              <w:autoSpaceDE w:val="0"/>
              <w:autoSpaceDN w:val="0"/>
              <w:bidi w:val="0"/>
              <w:adjustRightInd w:val="0"/>
              <w:snapToGrid w:val="0"/>
              <w:spacing w:line="240" w:lineRule="auto"/>
              <w:jc w:val="left"/>
              <w:textAlignment w:val="center"/>
              <w:rPr>
                <w:color w:val="000000"/>
                <w:sz w:val="24"/>
              </w:rPr>
            </w:pPr>
            <w:r>
              <w:rPr>
                <w:rFonts w:hint="eastAsia"/>
                <w:color w:val="000000"/>
                <w:kern w:val="0"/>
                <w:sz w:val="24"/>
              </w:rPr>
              <w:t>98.52%</w:t>
            </w:r>
          </w:p>
        </w:tc>
      </w:tr>
      <w:tr>
        <w:tblPrEx>
          <w:tblCellMar>
            <w:top w:w="15" w:type="dxa"/>
            <w:left w:w="15" w:type="dxa"/>
            <w:bottom w:w="15" w:type="dxa"/>
            <w:right w:w="15" w:type="dxa"/>
          </w:tblCellMar>
        </w:tblPrEx>
        <w:trPr>
          <w:trHeight w:val="1096"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vAlign w:val="center"/>
          </w:tcPr>
          <w:p>
            <w:pPr>
              <w:keepNext/>
              <w:keepLines w:val="0"/>
              <w:pageBreakBefore w:val="0"/>
              <w:widowControl w:val="0"/>
              <w:kinsoku w:val="0"/>
              <w:wordWrap/>
              <w:overflowPunct w:val="0"/>
              <w:topLinePunct w:val="0"/>
              <w:autoSpaceDE w:val="0"/>
              <w:autoSpaceDN w:val="0"/>
              <w:bidi w:val="0"/>
              <w:adjustRightInd w:val="0"/>
              <w:snapToGrid w:val="0"/>
              <w:spacing w:line="240" w:lineRule="auto"/>
              <w:jc w:val="center"/>
              <w:rPr>
                <w:color w:val="000000"/>
                <w:sz w:val="24"/>
              </w:rPr>
            </w:pPr>
          </w:p>
        </w:tc>
        <w:tc>
          <w:tcPr>
            <w:tcW w:w="1347" w:type="dxa"/>
            <w:vMerge w:val="continue"/>
            <w:tcBorders>
              <w:top w:val="single" w:color="000000" w:sz="4" w:space="0"/>
              <w:left w:val="single" w:color="000000" w:sz="4" w:space="0"/>
              <w:bottom w:val="single" w:color="000000" w:sz="4" w:space="0"/>
              <w:right w:val="single" w:color="000000" w:sz="4" w:space="0"/>
            </w:tcBorders>
            <w:vAlign w:val="center"/>
          </w:tcPr>
          <w:p>
            <w:pPr>
              <w:keepNext/>
              <w:keepLines w:val="0"/>
              <w:pageBreakBefore w:val="0"/>
              <w:widowControl w:val="0"/>
              <w:kinsoku w:val="0"/>
              <w:wordWrap/>
              <w:overflowPunct w:val="0"/>
              <w:topLinePunct w:val="0"/>
              <w:autoSpaceDE w:val="0"/>
              <w:autoSpaceDN w:val="0"/>
              <w:bidi w:val="0"/>
              <w:adjustRightInd w:val="0"/>
              <w:snapToGrid w:val="0"/>
              <w:spacing w:line="240" w:lineRule="auto"/>
              <w:jc w:val="center"/>
              <w:rPr>
                <w:color w:val="000000"/>
                <w:sz w:val="24"/>
              </w:rPr>
            </w:pPr>
          </w:p>
        </w:tc>
        <w:tc>
          <w:tcPr>
            <w:tcW w:w="1273" w:type="dxa"/>
            <w:vMerge w:val="continue"/>
            <w:tcBorders>
              <w:top w:val="single" w:color="000000" w:sz="4" w:space="0"/>
              <w:left w:val="single" w:color="000000" w:sz="4" w:space="0"/>
              <w:bottom w:val="single" w:color="000000" w:sz="4" w:space="0"/>
              <w:right w:val="single" w:color="000000" w:sz="4" w:space="0"/>
            </w:tcBorders>
            <w:vAlign w:val="center"/>
          </w:tcPr>
          <w:p>
            <w:pPr>
              <w:keepNext/>
              <w:keepLines w:val="0"/>
              <w:pageBreakBefore w:val="0"/>
              <w:widowControl w:val="0"/>
              <w:kinsoku w:val="0"/>
              <w:wordWrap/>
              <w:overflowPunct w:val="0"/>
              <w:topLinePunct w:val="0"/>
              <w:autoSpaceDE w:val="0"/>
              <w:autoSpaceDN w:val="0"/>
              <w:bidi w:val="0"/>
              <w:adjustRightInd w:val="0"/>
              <w:snapToGrid w:val="0"/>
              <w:spacing w:line="240" w:lineRule="auto"/>
              <w:jc w:val="center"/>
              <w:rPr>
                <w:color w:val="000000"/>
                <w:sz w:val="24"/>
              </w:rPr>
            </w:pPr>
          </w:p>
        </w:tc>
        <w:tc>
          <w:tcPr>
            <w:tcW w:w="1100" w:type="dxa"/>
            <w:tcBorders>
              <w:top w:val="single" w:color="000000" w:sz="4" w:space="0"/>
              <w:left w:val="single" w:color="000000" w:sz="4" w:space="0"/>
              <w:bottom w:val="single" w:color="000000" w:sz="4" w:space="0"/>
              <w:right w:val="single" w:color="000000" w:sz="4" w:space="0"/>
            </w:tcBorders>
            <w:vAlign w:val="center"/>
          </w:tcPr>
          <w:p>
            <w:pPr>
              <w:keepNext/>
              <w:keepLines w:val="0"/>
              <w:pageBreakBefore w:val="0"/>
              <w:widowControl w:val="0"/>
              <w:kinsoku w:val="0"/>
              <w:wordWrap/>
              <w:overflowPunct w:val="0"/>
              <w:topLinePunct w:val="0"/>
              <w:autoSpaceDE w:val="0"/>
              <w:autoSpaceDN w:val="0"/>
              <w:bidi w:val="0"/>
              <w:adjustRightInd w:val="0"/>
              <w:snapToGrid w:val="0"/>
              <w:spacing w:line="240" w:lineRule="auto"/>
              <w:jc w:val="left"/>
              <w:rPr>
                <w:color w:val="000000"/>
                <w:sz w:val="24"/>
              </w:rPr>
            </w:pPr>
            <w:r>
              <w:rPr>
                <w:rFonts w:hint="eastAsia"/>
                <w:color w:val="000000"/>
                <w:sz w:val="24"/>
              </w:rPr>
              <w:t>工资、社保指标</w:t>
            </w:r>
          </w:p>
        </w:tc>
        <w:tc>
          <w:tcPr>
            <w:tcW w:w="1145" w:type="dxa"/>
            <w:tcBorders>
              <w:top w:val="single" w:color="000000" w:sz="4" w:space="0"/>
              <w:left w:val="single" w:color="000000" w:sz="4" w:space="0"/>
              <w:bottom w:val="single" w:color="000000" w:sz="4" w:space="0"/>
              <w:right w:val="single" w:color="000000" w:sz="4" w:space="0"/>
            </w:tcBorders>
            <w:vAlign w:val="center"/>
          </w:tcPr>
          <w:p>
            <w:pPr>
              <w:keepNext/>
              <w:keepLines w:val="0"/>
              <w:pageBreakBefore w:val="0"/>
              <w:widowControl w:val="0"/>
              <w:kinsoku w:val="0"/>
              <w:wordWrap/>
              <w:overflowPunct w:val="0"/>
              <w:topLinePunct w:val="0"/>
              <w:autoSpaceDE w:val="0"/>
              <w:autoSpaceDN w:val="0"/>
              <w:bidi w:val="0"/>
              <w:adjustRightInd w:val="0"/>
              <w:snapToGrid w:val="0"/>
              <w:spacing w:line="240" w:lineRule="auto"/>
              <w:jc w:val="left"/>
              <w:rPr>
                <w:color w:val="000000"/>
                <w:sz w:val="24"/>
              </w:rPr>
            </w:pPr>
            <w:r>
              <w:rPr>
                <w:rFonts w:hint="eastAsia"/>
                <w:color w:val="000000"/>
                <w:sz w:val="24"/>
              </w:rPr>
              <w:t>工资、社保足额、及时发放</w:t>
            </w:r>
          </w:p>
        </w:tc>
        <w:tc>
          <w:tcPr>
            <w:tcW w:w="1289" w:type="dxa"/>
            <w:tcBorders>
              <w:top w:val="single" w:color="000000" w:sz="4" w:space="0"/>
              <w:left w:val="single" w:color="000000" w:sz="4" w:space="0"/>
              <w:bottom w:val="single" w:color="000000" w:sz="4" w:space="0"/>
              <w:right w:val="single" w:color="000000" w:sz="4" w:space="0"/>
            </w:tcBorders>
            <w:vAlign w:val="center"/>
          </w:tcPr>
          <w:p>
            <w:pPr>
              <w:keepNext/>
              <w:keepLines w:val="0"/>
              <w:pageBreakBefore w:val="0"/>
              <w:widowControl w:val="0"/>
              <w:kinsoku w:val="0"/>
              <w:wordWrap/>
              <w:overflowPunct w:val="0"/>
              <w:topLinePunct w:val="0"/>
              <w:autoSpaceDE w:val="0"/>
              <w:autoSpaceDN w:val="0"/>
              <w:bidi w:val="0"/>
              <w:adjustRightInd w:val="0"/>
              <w:snapToGrid w:val="0"/>
              <w:spacing w:line="240" w:lineRule="auto"/>
              <w:jc w:val="left"/>
              <w:rPr>
                <w:color w:val="000000"/>
                <w:sz w:val="24"/>
              </w:rPr>
            </w:pPr>
            <w:r>
              <w:rPr>
                <w:rFonts w:hint="eastAsia"/>
                <w:color w:val="000000"/>
                <w:sz w:val="24"/>
              </w:rPr>
              <w:t>=1</w:t>
            </w:r>
          </w:p>
        </w:tc>
        <w:tc>
          <w:tcPr>
            <w:tcW w:w="1058" w:type="dxa"/>
            <w:tcBorders>
              <w:top w:val="single" w:color="000000" w:sz="4" w:space="0"/>
              <w:left w:val="single" w:color="000000" w:sz="4" w:space="0"/>
              <w:bottom w:val="single" w:color="000000" w:sz="4" w:space="0"/>
              <w:right w:val="single" w:color="000000" w:sz="4" w:space="0"/>
            </w:tcBorders>
            <w:vAlign w:val="center"/>
          </w:tcPr>
          <w:p>
            <w:pPr>
              <w:keepNext/>
              <w:keepLines w:val="0"/>
              <w:pageBreakBefore w:val="0"/>
              <w:widowControl w:val="0"/>
              <w:kinsoku w:val="0"/>
              <w:wordWrap/>
              <w:overflowPunct w:val="0"/>
              <w:topLinePunct w:val="0"/>
              <w:autoSpaceDE w:val="0"/>
              <w:autoSpaceDN w:val="0"/>
              <w:bidi w:val="0"/>
              <w:adjustRightInd w:val="0"/>
              <w:snapToGrid w:val="0"/>
              <w:spacing w:line="240" w:lineRule="auto"/>
              <w:jc w:val="left"/>
              <w:rPr>
                <w:color w:val="000000"/>
                <w:sz w:val="24"/>
              </w:rPr>
            </w:pPr>
            <w:r>
              <w:rPr>
                <w:rFonts w:hint="eastAsia"/>
                <w:color w:val="000000"/>
                <w:sz w:val="24"/>
              </w:rPr>
              <w:t>完成值为1</w:t>
            </w:r>
          </w:p>
        </w:tc>
        <w:tc>
          <w:tcPr>
            <w:tcW w:w="926" w:type="dxa"/>
            <w:tcBorders>
              <w:top w:val="single" w:color="000000" w:sz="4" w:space="0"/>
              <w:left w:val="single" w:color="000000" w:sz="4" w:space="0"/>
              <w:bottom w:val="single" w:color="000000" w:sz="4" w:space="0"/>
              <w:right w:val="single" w:color="000000" w:sz="4" w:space="0"/>
            </w:tcBorders>
            <w:vAlign w:val="center"/>
          </w:tcPr>
          <w:p>
            <w:pPr>
              <w:keepNext/>
              <w:keepLines w:val="0"/>
              <w:pageBreakBefore w:val="0"/>
              <w:widowControl w:val="0"/>
              <w:kinsoku w:val="0"/>
              <w:wordWrap/>
              <w:overflowPunct w:val="0"/>
              <w:topLinePunct w:val="0"/>
              <w:autoSpaceDE w:val="0"/>
              <w:autoSpaceDN w:val="0"/>
              <w:bidi w:val="0"/>
              <w:adjustRightInd w:val="0"/>
              <w:snapToGrid w:val="0"/>
              <w:spacing w:line="240" w:lineRule="auto"/>
              <w:jc w:val="left"/>
              <w:rPr>
                <w:color w:val="000000"/>
                <w:sz w:val="24"/>
              </w:rPr>
            </w:pPr>
            <w:r>
              <w:rPr>
                <w:rFonts w:hint="eastAsia"/>
                <w:color w:val="000000"/>
                <w:sz w:val="24"/>
              </w:rPr>
              <w:t>15</w:t>
            </w:r>
          </w:p>
        </w:tc>
        <w:tc>
          <w:tcPr>
            <w:tcW w:w="1113" w:type="dxa"/>
            <w:tcBorders>
              <w:top w:val="single" w:color="000000" w:sz="4" w:space="0"/>
              <w:left w:val="single" w:color="000000" w:sz="4" w:space="0"/>
              <w:bottom w:val="single" w:color="000000" w:sz="4" w:space="0"/>
              <w:right w:val="single" w:color="000000" w:sz="4" w:space="0"/>
            </w:tcBorders>
            <w:vAlign w:val="center"/>
          </w:tcPr>
          <w:p>
            <w:pPr>
              <w:keepNext/>
              <w:keepLines w:val="0"/>
              <w:pageBreakBefore w:val="0"/>
              <w:widowControl w:val="0"/>
              <w:kinsoku w:val="0"/>
              <w:wordWrap/>
              <w:overflowPunct w:val="0"/>
              <w:topLinePunct w:val="0"/>
              <w:autoSpaceDE w:val="0"/>
              <w:autoSpaceDN w:val="0"/>
              <w:bidi w:val="0"/>
              <w:adjustRightInd w:val="0"/>
              <w:snapToGrid w:val="0"/>
              <w:spacing w:line="240" w:lineRule="auto"/>
              <w:jc w:val="left"/>
              <w:rPr>
                <w:color w:val="000000"/>
                <w:sz w:val="24"/>
              </w:rPr>
            </w:pPr>
            <w:r>
              <w:rPr>
                <w:rFonts w:hint="eastAsia"/>
                <w:color w:val="000000"/>
                <w:sz w:val="24"/>
              </w:rPr>
              <w:t>1</w:t>
            </w:r>
          </w:p>
        </w:tc>
      </w:tr>
      <w:tr>
        <w:tblPrEx>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vAlign w:val="center"/>
          </w:tcPr>
          <w:p>
            <w:pPr>
              <w:keepNext/>
              <w:keepLines w:val="0"/>
              <w:pageBreakBefore w:val="0"/>
              <w:widowControl w:val="0"/>
              <w:kinsoku w:val="0"/>
              <w:wordWrap/>
              <w:overflowPunct w:val="0"/>
              <w:topLinePunct w:val="0"/>
              <w:autoSpaceDE w:val="0"/>
              <w:autoSpaceDN w:val="0"/>
              <w:bidi w:val="0"/>
              <w:adjustRightInd w:val="0"/>
              <w:snapToGrid w:val="0"/>
              <w:spacing w:line="240" w:lineRule="auto"/>
              <w:jc w:val="center"/>
              <w:rPr>
                <w:color w:val="000000"/>
                <w:sz w:val="24"/>
              </w:rPr>
            </w:pPr>
          </w:p>
        </w:tc>
        <w:tc>
          <w:tcPr>
            <w:tcW w:w="1347" w:type="dxa"/>
            <w:vMerge w:val="continue"/>
            <w:tcBorders>
              <w:top w:val="single" w:color="000000" w:sz="4" w:space="0"/>
              <w:left w:val="single" w:color="000000" w:sz="4" w:space="0"/>
              <w:bottom w:val="single" w:color="000000" w:sz="4" w:space="0"/>
              <w:right w:val="single" w:color="000000" w:sz="4" w:space="0"/>
            </w:tcBorders>
            <w:vAlign w:val="center"/>
          </w:tcPr>
          <w:p>
            <w:pPr>
              <w:keepNext/>
              <w:keepLines w:val="0"/>
              <w:pageBreakBefore w:val="0"/>
              <w:widowControl w:val="0"/>
              <w:kinsoku w:val="0"/>
              <w:wordWrap/>
              <w:overflowPunct w:val="0"/>
              <w:topLinePunct w:val="0"/>
              <w:autoSpaceDE w:val="0"/>
              <w:autoSpaceDN w:val="0"/>
              <w:bidi w:val="0"/>
              <w:adjustRightInd w:val="0"/>
              <w:snapToGrid w:val="0"/>
              <w:spacing w:line="240" w:lineRule="auto"/>
              <w:jc w:val="center"/>
              <w:rPr>
                <w:color w:val="000000"/>
                <w:sz w:val="24"/>
              </w:rPr>
            </w:pPr>
          </w:p>
        </w:tc>
        <w:tc>
          <w:tcPr>
            <w:tcW w:w="1273" w:type="dxa"/>
            <w:tcBorders>
              <w:top w:val="single" w:color="000000" w:sz="4" w:space="0"/>
              <w:left w:val="single" w:color="000000" w:sz="4" w:space="0"/>
              <w:bottom w:val="single" w:color="000000" w:sz="4" w:space="0"/>
              <w:right w:val="single" w:color="000000" w:sz="4" w:space="0"/>
            </w:tcBorders>
            <w:vAlign w:val="center"/>
          </w:tcPr>
          <w:p>
            <w:pPr>
              <w:keepNext/>
              <w:keepLines w:val="0"/>
              <w:pageBreakBefore w:val="0"/>
              <w:widowControl w:val="0"/>
              <w:kinsoku w:val="0"/>
              <w:wordWrap/>
              <w:overflowPunct w:val="0"/>
              <w:topLinePunct w:val="0"/>
              <w:autoSpaceDE w:val="0"/>
              <w:autoSpaceDN w:val="0"/>
              <w:bidi w:val="0"/>
              <w:adjustRightInd w:val="0"/>
              <w:snapToGrid w:val="0"/>
              <w:spacing w:line="240" w:lineRule="auto"/>
              <w:jc w:val="center"/>
              <w:textAlignment w:val="center"/>
              <w:rPr>
                <w:color w:val="000000"/>
                <w:sz w:val="24"/>
              </w:rPr>
            </w:pPr>
            <w:r>
              <w:rPr>
                <w:color w:val="000000"/>
                <w:kern w:val="0"/>
                <w:sz w:val="24"/>
              </w:rPr>
              <w:t>质量指标</w:t>
            </w:r>
          </w:p>
        </w:tc>
        <w:tc>
          <w:tcPr>
            <w:tcW w:w="1100" w:type="dxa"/>
            <w:tcBorders>
              <w:top w:val="single" w:color="000000" w:sz="4" w:space="0"/>
              <w:left w:val="single" w:color="000000" w:sz="4" w:space="0"/>
              <w:bottom w:val="single" w:color="000000" w:sz="4" w:space="0"/>
              <w:right w:val="single" w:color="000000" w:sz="4" w:space="0"/>
            </w:tcBorders>
            <w:vAlign w:val="center"/>
          </w:tcPr>
          <w:p>
            <w:pPr>
              <w:keepNext/>
              <w:keepLines w:val="0"/>
              <w:pageBreakBefore w:val="0"/>
              <w:widowControl w:val="0"/>
              <w:kinsoku w:val="0"/>
              <w:wordWrap/>
              <w:overflowPunct w:val="0"/>
              <w:topLinePunct w:val="0"/>
              <w:autoSpaceDE w:val="0"/>
              <w:autoSpaceDN w:val="0"/>
              <w:bidi w:val="0"/>
              <w:adjustRightInd w:val="0"/>
              <w:snapToGrid w:val="0"/>
              <w:spacing w:line="240" w:lineRule="auto"/>
              <w:jc w:val="left"/>
              <w:rPr>
                <w:color w:val="000000"/>
                <w:sz w:val="24"/>
              </w:rPr>
            </w:pPr>
            <w:r>
              <w:rPr>
                <w:rFonts w:hint="eastAsia"/>
                <w:color w:val="000000"/>
                <w:sz w:val="24"/>
              </w:rPr>
              <w:t>保障120指挥系统稳定率</w:t>
            </w:r>
          </w:p>
        </w:tc>
        <w:tc>
          <w:tcPr>
            <w:tcW w:w="1145" w:type="dxa"/>
            <w:tcBorders>
              <w:top w:val="single" w:color="000000" w:sz="4" w:space="0"/>
              <w:left w:val="single" w:color="000000" w:sz="4" w:space="0"/>
              <w:bottom w:val="single" w:color="000000" w:sz="4" w:space="0"/>
              <w:right w:val="single" w:color="000000" w:sz="4" w:space="0"/>
            </w:tcBorders>
            <w:vAlign w:val="center"/>
          </w:tcPr>
          <w:p>
            <w:pPr>
              <w:keepNext/>
              <w:keepLines w:val="0"/>
              <w:pageBreakBefore w:val="0"/>
              <w:widowControl w:val="0"/>
              <w:kinsoku w:val="0"/>
              <w:wordWrap/>
              <w:overflowPunct w:val="0"/>
              <w:topLinePunct w:val="0"/>
              <w:autoSpaceDE w:val="0"/>
              <w:autoSpaceDN w:val="0"/>
              <w:bidi w:val="0"/>
              <w:adjustRightInd w:val="0"/>
              <w:snapToGrid w:val="0"/>
              <w:spacing w:line="240" w:lineRule="auto"/>
              <w:jc w:val="left"/>
              <w:rPr>
                <w:color w:val="000000"/>
                <w:sz w:val="24"/>
              </w:rPr>
            </w:pPr>
            <w:r>
              <w:rPr>
                <w:rFonts w:hint="eastAsia"/>
                <w:color w:val="000000"/>
                <w:sz w:val="24"/>
              </w:rPr>
              <w:t>保障120指挥系统稳定率</w:t>
            </w:r>
          </w:p>
        </w:tc>
        <w:tc>
          <w:tcPr>
            <w:tcW w:w="1289" w:type="dxa"/>
            <w:tcBorders>
              <w:top w:val="single" w:color="000000" w:sz="4" w:space="0"/>
              <w:left w:val="single" w:color="000000" w:sz="4" w:space="0"/>
              <w:bottom w:val="single" w:color="000000" w:sz="4" w:space="0"/>
              <w:right w:val="single" w:color="000000" w:sz="4" w:space="0"/>
            </w:tcBorders>
            <w:vAlign w:val="center"/>
          </w:tcPr>
          <w:p>
            <w:pPr>
              <w:keepNext/>
              <w:keepLines w:val="0"/>
              <w:pageBreakBefore w:val="0"/>
              <w:widowControl w:val="0"/>
              <w:kinsoku w:val="0"/>
              <w:wordWrap/>
              <w:overflowPunct w:val="0"/>
              <w:topLinePunct w:val="0"/>
              <w:autoSpaceDE w:val="0"/>
              <w:autoSpaceDN w:val="0"/>
              <w:bidi w:val="0"/>
              <w:adjustRightInd w:val="0"/>
              <w:snapToGrid w:val="0"/>
              <w:spacing w:line="240" w:lineRule="auto"/>
              <w:jc w:val="left"/>
              <w:rPr>
                <w:color w:val="000000"/>
                <w:sz w:val="24"/>
              </w:rPr>
            </w:pPr>
            <w:r>
              <w:rPr>
                <w:rFonts w:hint="eastAsia"/>
                <w:color w:val="000000"/>
                <w:sz w:val="24"/>
              </w:rPr>
              <w:t>≥99</w:t>
            </w:r>
          </w:p>
        </w:tc>
        <w:tc>
          <w:tcPr>
            <w:tcW w:w="1058" w:type="dxa"/>
            <w:tcBorders>
              <w:top w:val="single" w:color="000000" w:sz="4" w:space="0"/>
              <w:left w:val="single" w:color="000000" w:sz="4" w:space="0"/>
              <w:bottom w:val="single" w:color="000000" w:sz="4" w:space="0"/>
              <w:right w:val="single" w:color="000000" w:sz="4" w:space="0"/>
            </w:tcBorders>
            <w:vAlign w:val="center"/>
          </w:tcPr>
          <w:p>
            <w:pPr>
              <w:keepNext/>
              <w:keepLines w:val="0"/>
              <w:pageBreakBefore w:val="0"/>
              <w:widowControl w:val="0"/>
              <w:kinsoku w:val="0"/>
              <w:wordWrap/>
              <w:overflowPunct w:val="0"/>
              <w:topLinePunct w:val="0"/>
              <w:autoSpaceDE w:val="0"/>
              <w:autoSpaceDN w:val="0"/>
              <w:bidi w:val="0"/>
              <w:adjustRightInd w:val="0"/>
              <w:snapToGrid w:val="0"/>
              <w:spacing w:line="240" w:lineRule="auto"/>
              <w:jc w:val="left"/>
              <w:rPr>
                <w:color w:val="000000"/>
                <w:sz w:val="24"/>
              </w:rPr>
            </w:pPr>
            <w:r>
              <w:rPr>
                <w:rFonts w:hint="eastAsia"/>
                <w:color w:val="000000"/>
                <w:sz w:val="24"/>
              </w:rPr>
              <w:t>%</w:t>
            </w:r>
          </w:p>
        </w:tc>
        <w:tc>
          <w:tcPr>
            <w:tcW w:w="926" w:type="dxa"/>
            <w:tcBorders>
              <w:top w:val="single" w:color="000000" w:sz="4" w:space="0"/>
              <w:left w:val="single" w:color="000000" w:sz="4" w:space="0"/>
              <w:bottom w:val="single" w:color="000000" w:sz="4" w:space="0"/>
              <w:right w:val="single" w:color="000000" w:sz="4" w:space="0"/>
            </w:tcBorders>
            <w:vAlign w:val="center"/>
          </w:tcPr>
          <w:p>
            <w:pPr>
              <w:keepNext/>
              <w:keepLines w:val="0"/>
              <w:pageBreakBefore w:val="0"/>
              <w:widowControl w:val="0"/>
              <w:kinsoku w:val="0"/>
              <w:wordWrap/>
              <w:overflowPunct w:val="0"/>
              <w:topLinePunct w:val="0"/>
              <w:autoSpaceDE w:val="0"/>
              <w:autoSpaceDN w:val="0"/>
              <w:bidi w:val="0"/>
              <w:adjustRightInd w:val="0"/>
              <w:snapToGrid w:val="0"/>
              <w:spacing w:line="240" w:lineRule="auto"/>
              <w:jc w:val="left"/>
              <w:rPr>
                <w:color w:val="000000"/>
                <w:sz w:val="24"/>
              </w:rPr>
            </w:pPr>
            <w:r>
              <w:rPr>
                <w:rFonts w:hint="eastAsia"/>
                <w:color w:val="000000"/>
                <w:sz w:val="24"/>
              </w:rPr>
              <w:t>20</w:t>
            </w:r>
          </w:p>
        </w:tc>
        <w:tc>
          <w:tcPr>
            <w:tcW w:w="1113" w:type="dxa"/>
            <w:tcBorders>
              <w:top w:val="single" w:color="000000" w:sz="4" w:space="0"/>
              <w:left w:val="single" w:color="000000" w:sz="4" w:space="0"/>
              <w:bottom w:val="single" w:color="000000" w:sz="4" w:space="0"/>
              <w:right w:val="single" w:color="000000" w:sz="4" w:space="0"/>
            </w:tcBorders>
            <w:vAlign w:val="center"/>
          </w:tcPr>
          <w:p>
            <w:pPr>
              <w:keepNext/>
              <w:keepLines w:val="0"/>
              <w:pageBreakBefore w:val="0"/>
              <w:widowControl w:val="0"/>
              <w:kinsoku w:val="0"/>
              <w:wordWrap/>
              <w:overflowPunct w:val="0"/>
              <w:topLinePunct w:val="0"/>
              <w:autoSpaceDE w:val="0"/>
              <w:autoSpaceDN w:val="0"/>
              <w:bidi w:val="0"/>
              <w:adjustRightInd w:val="0"/>
              <w:snapToGrid w:val="0"/>
              <w:spacing w:line="240" w:lineRule="auto"/>
              <w:jc w:val="left"/>
              <w:rPr>
                <w:color w:val="000000"/>
                <w:sz w:val="24"/>
              </w:rPr>
            </w:pPr>
            <w:r>
              <w:rPr>
                <w:rFonts w:hint="eastAsia"/>
                <w:color w:val="000000"/>
                <w:sz w:val="24"/>
              </w:rPr>
              <w:t>99</w:t>
            </w:r>
          </w:p>
        </w:tc>
      </w:tr>
      <w:tr>
        <w:tblPrEx>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vAlign w:val="center"/>
          </w:tcPr>
          <w:p>
            <w:pPr>
              <w:keepNext/>
              <w:keepLines w:val="0"/>
              <w:pageBreakBefore w:val="0"/>
              <w:widowControl w:val="0"/>
              <w:kinsoku w:val="0"/>
              <w:wordWrap/>
              <w:overflowPunct w:val="0"/>
              <w:topLinePunct w:val="0"/>
              <w:autoSpaceDE w:val="0"/>
              <w:autoSpaceDN w:val="0"/>
              <w:bidi w:val="0"/>
              <w:adjustRightInd w:val="0"/>
              <w:snapToGrid w:val="0"/>
              <w:spacing w:line="240" w:lineRule="auto"/>
              <w:jc w:val="center"/>
              <w:rPr>
                <w:color w:val="000000"/>
                <w:sz w:val="24"/>
              </w:rPr>
            </w:pPr>
          </w:p>
        </w:tc>
        <w:tc>
          <w:tcPr>
            <w:tcW w:w="1347" w:type="dxa"/>
            <w:vMerge w:val="continue"/>
            <w:tcBorders>
              <w:top w:val="single" w:color="000000" w:sz="4" w:space="0"/>
              <w:left w:val="single" w:color="000000" w:sz="4" w:space="0"/>
              <w:bottom w:val="single" w:color="000000" w:sz="4" w:space="0"/>
              <w:right w:val="single" w:color="000000" w:sz="4" w:space="0"/>
            </w:tcBorders>
            <w:vAlign w:val="center"/>
          </w:tcPr>
          <w:p>
            <w:pPr>
              <w:keepNext/>
              <w:keepLines w:val="0"/>
              <w:pageBreakBefore w:val="0"/>
              <w:widowControl w:val="0"/>
              <w:kinsoku w:val="0"/>
              <w:wordWrap/>
              <w:overflowPunct w:val="0"/>
              <w:topLinePunct w:val="0"/>
              <w:autoSpaceDE w:val="0"/>
              <w:autoSpaceDN w:val="0"/>
              <w:bidi w:val="0"/>
              <w:adjustRightInd w:val="0"/>
              <w:snapToGrid w:val="0"/>
              <w:spacing w:line="240" w:lineRule="auto"/>
              <w:jc w:val="center"/>
              <w:rPr>
                <w:color w:val="000000"/>
                <w:sz w:val="24"/>
              </w:rPr>
            </w:pPr>
          </w:p>
        </w:tc>
        <w:tc>
          <w:tcPr>
            <w:tcW w:w="1273" w:type="dxa"/>
            <w:tcBorders>
              <w:top w:val="single" w:color="000000" w:sz="4" w:space="0"/>
              <w:left w:val="single" w:color="000000" w:sz="4" w:space="0"/>
              <w:bottom w:val="single" w:color="000000" w:sz="4" w:space="0"/>
              <w:right w:val="single" w:color="000000" w:sz="4" w:space="0"/>
            </w:tcBorders>
            <w:vAlign w:val="center"/>
          </w:tcPr>
          <w:p>
            <w:pPr>
              <w:keepNext/>
              <w:keepLines w:val="0"/>
              <w:pageBreakBefore w:val="0"/>
              <w:widowControl w:val="0"/>
              <w:kinsoku w:val="0"/>
              <w:wordWrap/>
              <w:overflowPunct w:val="0"/>
              <w:topLinePunct w:val="0"/>
              <w:autoSpaceDE w:val="0"/>
              <w:autoSpaceDN w:val="0"/>
              <w:bidi w:val="0"/>
              <w:adjustRightInd w:val="0"/>
              <w:snapToGrid w:val="0"/>
              <w:spacing w:line="240" w:lineRule="auto"/>
              <w:jc w:val="center"/>
              <w:textAlignment w:val="center"/>
              <w:rPr>
                <w:color w:val="000000"/>
                <w:sz w:val="24"/>
              </w:rPr>
            </w:pPr>
            <w:r>
              <w:rPr>
                <w:color w:val="000000"/>
                <w:kern w:val="0"/>
                <w:sz w:val="24"/>
              </w:rPr>
              <w:t>时效指标</w:t>
            </w:r>
          </w:p>
        </w:tc>
        <w:tc>
          <w:tcPr>
            <w:tcW w:w="1100" w:type="dxa"/>
            <w:tcBorders>
              <w:top w:val="single" w:color="000000" w:sz="4" w:space="0"/>
              <w:left w:val="single" w:color="000000" w:sz="4" w:space="0"/>
              <w:bottom w:val="single" w:color="000000" w:sz="4" w:space="0"/>
              <w:right w:val="single" w:color="000000" w:sz="4" w:space="0"/>
            </w:tcBorders>
            <w:vAlign w:val="center"/>
          </w:tcPr>
          <w:p>
            <w:pPr>
              <w:keepNext/>
              <w:keepLines w:val="0"/>
              <w:pageBreakBefore w:val="0"/>
              <w:widowControl w:val="0"/>
              <w:kinsoku w:val="0"/>
              <w:wordWrap/>
              <w:overflowPunct w:val="0"/>
              <w:topLinePunct w:val="0"/>
              <w:autoSpaceDE w:val="0"/>
              <w:autoSpaceDN w:val="0"/>
              <w:bidi w:val="0"/>
              <w:adjustRightInd w:val="0"/>
              <w:snapToGrid w:val="0"/>
              <w:spacing w:line="240" w:lineRule="auto"/>
              <w:jc w:val="left"/>
              <w:rPr>
                <w:color w:val="000000"/>
                <w:sz w:val="24"/>
              </w:rPr>
            </w:pPr>
            <w:r>
              <w:rPr>
                <w:rFonts w:hint="eastAsia"/>
                <w:color w:val="000000"/>
                <w:sz w:val="24"/>
              </w:rPr>
              <w:t>项目按期完成</w:t>
            </w:r>
          </w:p>
        </w:tc>
        <w:tc>
          <w:tcPr>
            <w:tcW w:w="1145" w:type="dxa"/>
            <w:tcBorders>
              <w:top w:val="single" w:color="000000" w:sz="4" w:space="0"/>
              <w:left w:val="single" w:color="000000" w:sz="4" w:space="0"/>
              <w:bottom w:val="single" w:color="000000" w:sz="4" w:space="0"/>
              <w:right w:val="single" w:color="000000" w:sz="4" w:space="0"/>
            </w:tcBorders>
            <w:vAlign w:val="center"/>
          </w:tcPr>
          <w:p>
            <w:pPr>
              <w:keepNext/>
              <w:keepLines w:val="0"/>
              <w:pageBreakBefore w:val="0"/>
              <w:widowControl w:val="0"/>
              <w:kinsoku w:val="0"/>
              <w:wordWrap/>
              <w:overflowPunct w:val="0"/>
              <w:topLinePunct w:val="0"/>
              <w:autoSpaceDE w:val="0"/>
              <w:autoSpaceDN w:val="0"/>
              <w:bidi w:val="0"/>
              <w:adjustRightInd w:val="0"/>
              <w:snapToGrid w:val="0"/>
              <w:spacing w:line="240" w:lineRule="auto"/>
              <w:jc w:val="left"/>
              <w:rPr>
                <w:color w:val="000000"/>
                <w:sz w:val="24"/>
              </w:rPr>
            </w:pPr>
            <w:r>
              <w:rPr>
                <w:rFonts w:hint="eastAsia"/>
                <w:color w:val="000000"/>
                <w:sz w:val="24"/>
              </w:rPr>
              <w:t>项目按期完成率</w:t>
            </w:r>
          </w:p>
        </w:tc>
        <w:tc>
          <w:tcPr>
            <w:tcW w:w="1289" w:type="dxa"/>
            <w:tcBorders>
              <w:top w:val="single" w:color="000000" w:sz="4" w:space="0"/>
              <w:left w:val="single" w:color="000000" w:sz="4" w:space="0"/>
              <w:bottom w:val="single" w:color="000000" w:sz="4" w:space="0"/>
              <w:right w:val="single" w:color="000000" w:sz="4" w:space="0"/>
            </w:tcBorders>
            <w:vAlign w:val="center"/>
          </w:tcPr>
          <w:p>
            <w:pPr>
              <w:keepNext/>
              <w:keepLines w:val="0"/>
              <w:pageBreakBefore w:val="0"/>
              <w:widowControl w:val="0"/>
              <w:kinsoku w:val="0"/>
              <w:wordWrap/>
              <w:overflowPunct w:val="0"/>
              <w:topLinePunct w:val="0"/>
              <w:autoSpaceDE w:val="0"/>
              <w:autoSpaceDN w:val="0"/>
              <w:bidi w:val="0"/>
              <w:adjustRightInd w:val="0"/>
              <w:snapToGrid w:val="0"/>
              <w:spacing w:line="240" w:lineRule="auto"/>
              <w:jc w:val="left"/>
              <w:rPr>
                <w:color w:val="000000"/>
                <w:sz w:val="24"/>
              </w:rPr>
            </w:pPr>
            <w:r>
              <w:rPr>
                <w:rFonts w:hint="eastAsia"/>
                <w:color w:val="000000"/>
                <w:sz w:val="24"/>
              </w:rPr>
              <w:t>=100</w:t>
            </w:r>
          </w:p>
        </w:tc>
        <w:tc>
          <w:tcPr>
            <w:tcW w:w="1058" w:type="dxa"/>
            <w:tcBorders>
              <w:top w:val="single" w:color="000000" w:sz="4" w:space="0"/>
              <w:left w:val="single" w:color="000000" w:sz="4" w:space="0"/>
              <w:bottom w:val="single" w:color="000000" w:sz="4" w:space="0"/>
              <w:right w:val="single" w:color="000000" w:sz="4" w:space="0"/>
            </w:tcBorders>
            <w:vAlign w:val="center"/>
          </w:tcPr>
          <w:p>
            <w:pPr>
              <w:keepNext/>
              <w:keepLines w:val="0"/>
              <w:pageBreakBefore w:val="0"/>
              <w:widowControl w:val="0"/>
              <w:kinsoku w:val="0"/>
              <w:wordWrap/>
              <w:overflowPunct w:val="0"/>
              <w:topLinePunct w:val="0"/>
              <w:autoSpaceDE w:val="0"/>
              <w:autoSpaceDN w:val="0"/>
              <w:bidi w:val="0"/>
              <w:adjustRightInd w:val="0"/>
              <w:snapToGrid w:val="0"/>
              <w:spacing w:line="240" w:lineRule="auto"/>
              <w:jc w:val="left"/>
              <w:rPr>
                <w:color w:val="000000"/>
                <w:sz w:val="24"/>
              </w:rPr>
            </w:pPr>
            <w:r>
              <w:rPr>
                <w:rFonts w:hint="eastAsia"/>
                <w:color w:val="000000"/>
                <w:sz w:val="24"/>
              </w:rPr>
              <w:t>%</w:t>
            </w:r>
          </w:p>
        </w:tc>
        <w:tc>
          <w:tcPr>
            <w:tcW w:w="926" w:type="dxa"/>
            <w:tcBorders>
              <w:top w:val="single" w:color="000000" w:sz="4" w:space="0"/>
              <w:left w:val="single" w:color="000000" w:sz="4" w:space="0"/>
              <w:bottom w:val="single" w:color="000000" w:sz="4" w:space="0"/>
              <w:right w:val="single" w:color="000000" w:sz="4" w:space="0"/>
            </w:tcBorders>
            <w:vAlign w:val="center"/>
          </w:tcPr>
          <w:p>
            <w:pPr>
              <w:keepNext/>
              <w:keepLines w:val="0"/>
              <w:pageBreakBefore w:val="0"/>
              <w:widowControl w:val="0"/>
              <w:kinsoku w:val="0"/>
              <w:wordWrap/>
              <w:overflowPunct w:val="0"/>
              <w:topLinePunct w:val="0"/>
              <w:autoSpaceDE w:val="0"/>
              <w:autoSpaceDN w:val="0"/>
              <w:bidi w:val="0"/>
              <w:adjustRightInd w:val="0"/>
              <w:snapToGrid w:val="0"/>
              <w:spacing w:line="240" w:lineRule="auto"/>
              <w:jc w:val="left"/>
              <w:rPr>
                <w:color w:val="000000"/>
                <w:sz w:val="24"/>
              </w:rPr>
            </w:pPr>
            <w:r>
              <w:rPr>
                <w:rFonts w:hint="eastAsia"/>
                <w:color w:val="000000"/>
                <w:sz w:val="24"/>
              </w:rPr>
              <w:t>15</w:t>
            </w:r>
          </w:p>
        </w:tc>
        <w:tc>
          <w:tcPr>
            <w:tcW w:w="1113" w:type="dxa"/>
            <w:tcBorders>
              <w:top w:val="single" w:color="000000" w:sz="4" w:space="0"/>
              <w:left w:val="single" w:color="000000" w:sz="4" w:space="0"/>
              <w:bottom w:val="single" w:color="000000" w:sz="4" w:space="0"/>
              <w:right w:val="single" w:color="000000" w:sz="4" w:space="0"/>
            </w:tcBorders>
            <w:vAlign w:val="center"/>
          </w:tcPr>
          <w:p>
            <w:pPr>
              <w:keepNext/>
              <w:keepLines w:val="0"/>
              <w:pageBreakBefore w:val="0"/>
              <w:widowControl w:val="0"/>
              <w:kinsoku w:val="0"/>
              <w:wordWrap/>
              <w:overflowPunct w:val="0"/>
              <w:topLinePunct w:val="0"/>
              <w:autoSpaceDE w:val="0"/>
              <w:autoSpaceDN w:val="0"/>
              <w:bidi w:val="0"/>
              <w:adjustRightInd w:val="0"/>
              <w:snapToGrid w:val="0"/>
              <w:spacing w:line="240" w:lineRule="auto"/>
              <w:jc w:val="left"/>
              <w:rPr>
                <w:color w:val="000000"/>
                <w:sz w:val="24"/>
              </w:rPr>
            </w:pPr>
            <w:r>
              <w:rPr>
                <w:rFonts w:hint="eastAsia"/>
                <w:color w:val="000000"/>
                <w:sz w:val="24"/>
              </w:rPr>
              <w:t>15</w:t>
            </w:r>
          </w:p>
        </w:tc>
      </w:tr>
      <w:tr>
        <w:tblPrEx>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vAlign w:val="center"/>
          </w:tcPr>
          <w:p>
            <w:pPr>
              <w:keepNext/>
              <w:keepLines w:val="0"/>
              <w:pageBreakBefore w:val="0"/>
              <w:widowControl w:val="0"/>
              <w:kinsoku w:val="0"/>
              <w:wordWrap/>
              <w:overflowPunct w:val="0"/>
              <w:topLinePunct w:val="0"/>
              <w:autoSpaceDE w:val="0"/>
              <w:autoSpaceDN w:val="0"/>
              <w:bidi w:val="0"/>
              <w:adjustRightInd w:val="0"/>
              <w:snapToGrid w:val="0"/>
              <w:spacing w:line="240" w:lineRule="auto"/>
              <w:jc w:val="center"/>
              <w:rPr>
                <w:color w:val="000000"/>
                <w:sz w:val="24"/>
              </w:rPr>
            </w:pPr>
          </w:p>
        </w:tc>
        <w:tc>
          <w:tcPr>
            <w:tcW w:w="1347" w:type="dxa"/>
            <w:vMerge w:val="restart"/>
            <w:tcBorders>
              <w:top w:val="single" w:color="000000" w:sz="4" w:space="0"/>
              <w:left w:val="single" w:color="000000" w:sz="4" w:space="0"/>
              <w:bottom w:val="single" w:color="000000" w:sz="4" w:space="0"/>
              <w:right w:val="single" w:color="000000" w:sz="4" w:space="0"/>
            </w:tcBorders>
            <w:vAlign w:val="center"/>
          </w:tcPr>
          <w:p>
            <w:pPr>
              <w:keepNext/>
              <w:keepLines w:val="0"/>
              <w:pageBreakBefore w:val="0"/>
              <w:widowControl w:val="0"/>
              <w:kinsoku w:val="0"/>
              <w:wordWrap/>
              <w:overflowPunct w:val="0"/>
              <w:topLinePunct w:val="0"/>
              <w:autoSpaceDE w:val="0"/>
              <w:autoSpaceDN w:val="0"/>
              <w:bidi w:val="0"/>
              <w:adjustRightInd w:val="0"/>
              <w:snapToGrid w:val="0"/>
              <w:spacing w:line="240" w:lineRule="auto"/>
              <w:jc w:val="center"/>
              <w:textAlignment w:val="center"/>
              <w:rPr>
                <w:color w:val="000000"/>
                <w:sz w:val="24"/>
              </w:rPr>
            </w:pPr>
            <w:r>
              <w:rPr>
                <w:color w:val="000000"/>
                <w:kern w:val="0"/>
                <w:sz w:val="24"/>
              </w:rPr>
              <w:t>效益指标</w:t>
            </w:r>
          </w:p>
        </w:tc>
        <w:tc>
          <w:tcPr>
            <w:tcW w:w="1273" w:type="dxa"/>
            <w:vMerge w:val="restart"/>
            <w:tcBorders>
              <w:top w:val="single" w:color="000000" w:sz="4" w:space="0"/>
              <w:left w:val="single" w:color="000000" w:sz="4" w:space="0"/>
              <w:right w:val="single" w:color="000000" w:sz="4" w:space="0"/>
            </w:tcBorders>
            <w:vAlign w:val="center"/>
          </w:tcPr>
          <w:p>
            <w:pPr>
              <w:keepNext/>
              <w:keepLines w:val="0"/>
              <w:pageBreakBefore w:val="0"/>
              <w:widowControl w:val="0"/>
              <w:kinsoku w:val="0"/>
              <w:wordWrap/>
              <w:overflowPunct w:val="0"/>
              <w:topLinePunct w:val="0"/>
              <w:autoSpaceDE w:val="0"/>
              <w:autoSpaceDN w:val="0"/>
              <w:bidi w:val="0"/>
              <w:adjustRightInd w:val="0"/>
              <w:snapToGrid w:val="0"/>
              <w:spacing w:line="240" w:lineRule="auto"/>
              <w:jc w:val="center"/>
              <w:textAlignment w:val="center"/>
              <w:rPr>
                <w:color w:val="000000"/>
                <w:kern w:val="0"/>
                <w:sz w:val="24"/>
              </w:rPr>
            </w:pPr>
            <w:r>
              <w:rPr>
                <w:color w:val="000000"/>
                <w:kern w:val="0"/>
                <w:sz w:val="24"/>
              </w:rPr>
              <w:t>社会效益</w:t>
            </w:r>
          </w:p>
          <w:p>
            <w:pPr>
              <w:keepNext/>
              <w:keepLines w:val="0"/>
              <w:pageBreakBefore w:val="0"/>
              <w:widowControl w:val="0"/>
              <w:kinsoku w:val="0"/>
              <w:wordWrap/>
              <w:overflowPunct w:val="0"/>
              <w:topLinePunct w:val="0"/>
              <w:autoSpaceDE w:val="0"/>
              <w:autoSpaceDN w:val="0"/>
              <w:bidi w:val="0"/>
              <w:adjustRightInd w:val="0"/>
              <w:snapToGrid w:val="0"/>
              <w:spacing w:line="240" w:lineRule="auto"/>
              <w:jc w:val="center"/>
              <w:textAlignment w:val="center"/>
              <w:rPr>
                <w:color w:val="000000"/>
                <w:sz w:val="24"/>
              </w:rPr>
            </w:pPr>
            <w:r>
              <w:rPr>
                <w:color w:val="000000"/>
                <w:kern w:val="0"/>
                <w:sz w:val="24"/>
              </w:rPr>
              <w:t>指标</w:t>
            </w:r>
          </w:p>
        </w:tc>
        <w:tc>
          <w:tcPr>
            <w:tcW w:w="1100" w:type="dxa"/>
            <w:tcBorders>
              <w:top w:val="single" w:color="000000" w:sz="4" w:space="0"/>
              <w:left w:val="single" w:color="000000" w:sz="4" w:space="0"/>
              <w:bottom w:val="single" w:color="000000" w:sz="4" w:space="0"/>
              <w:right w:val="single" w:color="000000" w:sz="4" w:space="0"/>
            </w:tcBorders>
            <w:vAlign w:val="center"/>
          </w:tcPr>
          <w:p>
            <w:pPr>
              <w:keepNext/>
              <w:keepLines w:val="0"/>
              <w:pageBreakBefore w:val="0"/>
              <w:widowControl w:val="0"/>
              <w:kinsoku w:val="0"/>
              <w:wordWrap/>
              <w:overflowPunct w:val="0"/>
              <w:topLinePunct w:val="0"/>
              <w:autoSpaceDE w:val="0"/>
              <w:autoSpaceDN w:val="0"/>
              <w:bidi w:val="0"/>
              <w:adjustRightInd w:val="0"/>
              <w:snapToGrid w:val="0"/>
              <w:spacing w:line="240" w:lineRule="auto"/>
              <w:jc w:val="left"/>
              <w:rPr>
                <w:color w:val="000000"/>
                <w:sz w:val="24"/>
              </w:rPr>
            </w:pPr>
            <w:r>
              <w:rPr>
                <w:rFonts w:hint="eastAsia"/>
                <w:color w:val="000000"/>
                <w:sz w:val="24"/>
              </w:rPr>
              <w:t>满足人民群众的院前急救需求</w:t>
            </w:r>
          </w:p>
        </w:tc>
        <w:tc>
          <w:tcPr>
            <w:tcW w:w="1145" w:type="dxa"/>
            <w:tcBorders>
              <w:top w:val="single" w:color="000000" w:sz="4" w:space="0"/>
              <w:left w:val="single" w:color="000000" w:sz="4" w:space="0"/>
              <w:bottom w:val="single" w:color="000000" w:sz="4" w:space="0"/>
              <w:right w:val="single" w:color="000000" w:sz="4" w:space="0"/>
            </w:tcBorders>
            <w:vAlign w:val="center"/>
          </w:tcPr>
          <w:p>
            <w:pPr>
              <w:keepNext/>
              <w:keepLines w:val="0"/>
              <w:pageBreakBefore w:val="0"/>
              <w:widowControl w:val="0"/>
              <w:kinsoku w:val="0"/>
              <w:wordWrap/>
              <w:overflowPunct w:val="0"/>
              <w:topLinePunct w:val="0"/>
              <w:autoSpaceDE w:val="0"/>
              <w:autoSpaceDN w:val="0"/>
              <w:bidi w:val="0"/>
              <w:adjustRightInd w:val="0"/>
              <w:snapToGrid w:val="0"/>
              <w:spacing w:line="240" w:lineRule="auto"/>
              <w:jc w:val="left"/>
              <w:rPr>
                <w:color w:val="000000"/>
                <w:sz w:val="24"/>
              </w:rPr>
            </w:pPr>
            <w:r>
              <w:rPr>
                <w:rFonts w:hint="eastAsia"/>
                <w:color w:val="000000"/>
                <w:sz w:val="24"/>
              </w:rPr>
              <w:t>满足人民群众的院前急救需求</w:t>
            </w:r>
          </w:p>
        </w:tc>
        <w:tc>
          <w:tcPr>
            <w:tcW w:w="1289" w:type="dxa"/>
            <w:tcBorders>
              <w:top w:val="single" w:color="000000" w:sz="4" w:space="0"/>
              <w:left w:val="single" w:color="000000" w:sz="4" w:space="0"/>
              <w:bottom w:val="single" w:color="000000" w:sz="4" w:space="0"/>
              <w:right w:val="single" w:color="000000" w:sz="4" w:space="0"/>
            </w:tcBorders>
            <w:vAlign w:val="center"/>
          </w:tcPr>
          <w:p>
            <w:pPr>
              <w:keepNext/>
              <w:keepLines w:val="0"/>
              <w:pageBreakBefore w:val="0"/>
              <w:widowControl w:val="0"/>
              <w:kinsoku w:val="0"/>
              <w:wordWrap/>
              <w:overflowPunct w:val="0"/>
              <w:topLinePunct w:val="0"/>
              <w:autoSpaceDE w:val="0"/>
              <w:autoSpaceDN w:val="0"/>
              <w:bidi w:val="0"/>
              <w:adjustRightInd w:val="0"/>
              <w:snapToGrid w:val="0"/>
              <w:spacing w:line="240" w:lineRule="auto"/>
              <w:jc w:val="left"/>
              <w:rPr>
                <w:color w:val="000000"/>
                <w:sz w:val="24"/>
              </w:rPr>
            </w:pPr>
            <w:r>
              <w:rPr>
                <w:rFonts w:hint="eastAsia"/>
                <w:color w:val="000000"/>
                <w:sz w:val="24"/>
              </w:rPr>
              <w:t>≥98</w:t>
            </w:r>
          </w:p>
        </w:tc>
        <w:tc>
          <w:tcPr>
            <w:tcW w:w="1058" w:type="dxa"/>
            <w:tcBorders>
              <w:top w:val="single" w:color="000000" w:sz="4" w:space="0"/>
              <w:left w:val="single" w:color="000000" w:sz="4" w:space="0"/>
              <w:bottom w:val="single" w:color="000000" w:sz="4" w:space="0"/>
              <w:right w:val="single" w:color="000000" w:sz="4" w:space="0"/>
            </w:tcBorders>
            <w:vAlign w:val="center"/>
          </w:tcPr>
          <w:p>
            <w:pPr>
              <w:keepNext/>
              <w:keepLines w:val="0"/>
              <w:pageBreakBefore w:val="0"/>
              <w:widowControl w:val="0"/>
              <w:kinsoku w:val="0"/>
              <w:wordWrap/>
              <w:overflowPunct w:val="0"/>
              <w:topLinePunct w:val="0"/>
              <w:autoSpaceDE w:val="0"/>
              <w:autoSpaceDN w:val="0"/>
              <w:bidi w:val="0"/>
              <w:adjustRightInd w:val="0"/>
              <w:snapToGrid w:val="0"/>
              <w:spacing w:line="240" w:lineRule="auto"/>
              <w:jc w:val="left"/>
              <w:rPr>
                <w:color w:val="000000"/>
                <w:sz w:val="24"/>
              </w:rPr>
            </w:pPr>
            <w:r>
              <w:rPr>
                <w:rFonts w:hint="eastAsia"/>
                <w:color w:val="000000"/>
                <w:sz w:val="24"/>
              </w:rPr>
              <w:t>%</w:t>
            </w:r>
          </w:p>
        </w:tc>
        <w:tc>
          <w:tcPr>
            <w:tcW w:w="926" w:type="dxa"/>
            <w:tcBorders>
              <w:top w:val="single" w:color="000000" w:sz="4" w:space="0"/>
              <w:left w:val="single" w:color="000000" w:sz="4" w:space="0"/>
              <w:bottom w:val="single" w:color="000000" w:sz="4" w:space="0"/>
              <w:right w:val="single" w:color="000000" w:sz="4" w:space="0"/>
            </w:tcBorders>
            <w:vAlign w:val="center"/>
          </w:tcPr>
          <w:p>
            <w:pPr>
              <w:keepNext/>
              <w:keepLines w:val="0"/>
              <w:pageBreakBefore w:val="0"/>
              <w:widowControl w:val="0"/>
              <w:kinsoku w:val="0"/>
              <w:wordWrap/>
              <w:overflowPunct w:val="0"/>
              <w:topLinePunct w:val="0"/>
              <w:autoSpaceDE w:val="0"/>
              <w:autoSpaceDN w:val="0"/>
              <w:bidi w:val="0"/>
              <w:adjustRightInd w:val="0"/>
              <w:snapToGrid w:val="0"/>
              <w:spacing w:line="240" w:lineRule="auto"/>
              <w:jc w:val="left"/>
              <w:rPr>
                <w:color w:val="000000"/>
                <w:sz w:val="24"/>
              </w:rPr>
            </w:pPr>
            <w:r>
              <w:rPr>
                <w:rFonts w:hint="eastAsia"/>
                <w:color w:val="000000"/>
                <w:sz w:val="24"/>
              </w:rPr>
              <w:t>10</w:t>
            </w:r>
          </w:p>
        </w:tc>
        <w:tc>
          <w:tcPr>
            <w:tcW w:w="1113" w:type="dxa"/>
            <w:tcBorders>
              <w:top w:val="single" w:color="000000" w:sz="4" w:space="0"/>
              <w:left w:val="single" w:color="000000" w:sz="4" w:space="0"/>
              <w:bottom w:val="single" w:color="000000" w:sz="4" w:space="0"/>
              <w:right w:val="single" w:color="000000" w:sz="4" w:space="0"/>
            </w:tcBorders>
            <w:vAlign w:val="center"/>
          </w:tcPr>
          <w:p>
            <w:pPr>
              <w:keepNext/>
              <w:keepLines w:val="0"/>
              <w:pageBreakBefore w:val="0"/>
              <w:widowControl w:val="0"/>
              <w:kinsoku w:val="0"/>
              <w:wordWrap/>
              <w:overflowPunct w:val="0"/>
              <w:topLinePunct w:val="0"/>
              <w:autoSpaceDE w:val="0"/>
              <w:autoSpaceDN w:val="0"/>
              <w:bidi w:val="0"/>
              <w:adjustRightInd w:val="0"/>
              <w:snapToGrid w:val="0"/>
              <w:spacing w:line="240" w:lineRule="auto"/>
              <w:jc w:val="left"/>
              <w:rPr>
                <w:color w:val="000000"/>
                <w:sz w:val="24"/>
              </w:rPr>
            </w:pPr>
            <w:r>
              <w:rPr>
                <w:rFonts w:hint="eastAsia"/>
                <w:color w:val="000000"/>
                <w:sz w:val="24"/>
              </w:rPr>
              <w:t>98</w:t>
            </w:r>
          </w:p>
        </w:tc>
      </w:tr>
      <w:tr>
        <w:tblPrEx>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vAlign w:val="center"/>
          </w:tcPr>
          <w:p>
            <w:pPr>
              <w:keepNext/>
              <w:keepLines w:val="0"/>
              <w:pageBreakBefore w:val="0"/>
              <w:widowControl w:val="0"/>
              <w:kinsoku w:val="0"/>
              <w:wordWrap/>
              <w:overflowPunct w:val="0"/>
              <w:topLinePunct w:val="0"/>
              <w:autoSpaceDE w:val="0"/>
              <w:autoSpaceDN w:val="0"/>
              <w:bidi w:val="0"/>
              <w:adjustRightInd w:val="0"/>
              <w:snapToGrid w:val="0"/>
              <w:spacing w:line="240" w:lineRule="auto"/>
              <w:jc w:val="center"/>
              <w:rPr>
                <w:color w:val="000000"/>
                <w:sz w:val="24"/>
              </w:rPr>
            </w:pPr>
          </w:p>
        </w:tc>
        <w:tc>
          <w:tcPr>
            <w:tcW w:w="1347" w:type="dxa"/>
            <w:vMerge w:val="continue"/>
            <w:tcBorders>
              <w:top w:val="single" w:color="000000" w:sz="4" w:space="0"/>
              <w:left w:val="single" w:color="000000" w:sz="4" w:space="0"/>
              <w:bottom w:val="single" w:color="000000" w:sz="4" w:space="0"/>
              <w:right w:val="single" w:color="000000" w:sz="4" w:space="0"/>
            </w:tcBorders>
            <w:vAlign w:val="center"/>
          </w:tcPr>
          <w:p>
            <w:pPr>
              <w:keepNext/>
              <w:keepLines w:val="0"/>
              <w:pageBreakBefore w:val="0"/>
              <w:widowControl w:val="0"/>
              <w:kinsoku w:val="0"/>
              <w:wordWrap/>
              <w:overflowPunct w:val="0"/>
              <w:topLinePunct w:val="0"/>
              <w:autoSpaceDE w:val="0"/>
              <w:autoSpaceDN w:val="0"/>
              <w:bidi w:val="0"/>
              <w:adjustRightInd w:val="0"/>
              <w:snapToGrid w:val="0"/>
              <w:spacing w:line="240" w:lineRule="auto"/>
              <w:jc w:val="center"/>
              <w:rPr>
                <w:color w:val="000000"/>
                <w:sz w:val="24"/>
              </w:rPr>
            </w:pPr>
          </w:p>
        </w:tc>
        <w:tc>
          <w:tcPr>
            <w:tcW w:w="1273" w:type="dxa"/>
            <w:vMerge w:val="continue"/>
            <w:tcBorders>
              <w:top w:val="single" w:color="000000" w:sz="4" w:space="0"/>
              <w:left w:val="single" w:color="000000" w:sz="4" w:space="0"/>
              <w:right w:val="single" w:color="000000" w:sz="4" w:space="0"/>
            </w:tcBorders>
            <w:vAlign w:val="center"/>
          </w:tcPr>
          <w:p>
            <w:pPr>
              <w:keepNext/>
              <w:keepLines w:val="0"/>
              <w:pageBreakBefore w:val="0"/>
              <w:widowControl w:val="0"/>
              <w:kinsoku w:val="0"/>
              <w:wordWrap/>
              <w:overflowPunct w:val="0"/>
              <w:topLinePunct w:val="0"/>
              <w:autoSpaceDE w:val="0"/>
              <w:autoSpaceDN w:val="0"/>
              <w:bidi w:val="0"/>
              <w:adjustRightInd w:val="0"/>
              <w:snapToGrid w:val="0"/>
              <w:spacing w:line="240" w:lineRule="auto"/>
              <w:jc w:val="center"/>
              <w:rPr>
                <w:color w:val="000000"/>
                <w:sz w:val="24"/>
              </w:rPr>
            </w:pPr>
          </w:p>
        </w:tc>
        <w:tc>
          <w:tcPr>
            <w:tcW w:w="1100" w:type="dxa"/>
            <w:tcBorders>
              <w:top w:val="single" w:color="000000" w:sz="4" w:space="0"/>
              <w:left w:val="single" w:color="000000" w:sz="4" w:space="0"/>
              <w:bottom w:val="single" w:color="000000" w:sz="4" w:space="0"/>
              <w:right w:val="single" w:color="000000" w:sz="4" w:space="0"/>
            </w:tcBorders>
            <w:vAlign w:val="center"/>
          </w:tcPr>
          <w:p>
            <w:pPr>
              <w:keepNext/>
              <w:keepLines w:val="0"/>
              <w:pageBreakBefore w:val="0"/>
              <w:widowControl w:val="0"/>
              <w:kinsoku w:val="0"/>
              <w:wordWrap/>
              <w:overflowPunct w:val="0"/>
              <w:topLinePunct w:val="0"/>
              <w:autoSpaceDE w:val="0"/>
              <w:autoSpaceDN w:val="0"/>
              <w:bidi w:val="0"/>
              <w:adjustRightInd w:val="0"/>
              <w:snapToGrid w:val="0"/>
              <w:spacing w:line="240" w:lineRule="auto"/>
              <w:jc w:val="left"/>
              <w:rPr>
                <w:color w:val="000000"/>
                <w:sz w:val="24"/>
              </w:rPr>
            </w:pPr>
            <w:r>
              <w:rPr>
                <w:rFonts w:hint="eastAsia"/>
                <w:color w:val="000000"/>
                <w:sz w:val="24"/>
              </w:rPr>
              <w:t>解决就业问题</w:t>
            </w:r>
          </w:p>
        </w:tc>
        <w:tc>
          <w:tcPr>
            <w:tcW w:w="1145" w:type="dxa"/>
            <w:tcBorders>
              <w:top w:val="single" w:color="000000" w:sz="4" w:space="0"/>
              <w:left w:val="single" w:color="000000" w:sz="4" w:space="0"/>
              <w:bottom w:val="single" w:color="000000" w:sz="4" w:space="0"/>
              <w:right w:val="single" w:color="000000" w:sz="4" w:space="0"/>
            </w:tcBorders>
            <w:vAlign w:val="center"/>
          </w:tcPr>
          <w:p>
            <w:pPr>
              <w:keepNext/>
              <w:keepLines w:val="0"/>
              <w:pageBreakBefore w:val="0"/>
              <w:widowControl w:val="0"/>
              <w:kinsoku w:val="0"/>
              <w:wordWrap/>
              <w:overflowPunct w:val="0"/>
              <w:topLinePunct w:val="0"/>
              <w:autoSpaceDE w:val="0"/>
              <w:autoSpaceDN w:val="0"/>
              <w:bidi w:val="0"/>
              <w:adjustRightInd w:val="0"/>
              <w:snapToGrid w:val="0"/>
              <w:spacing w:line="240" w:lineRule="auto"/>
              <w:jc w:val="left"/>
              <w:rPr>
                <w:color w:val="000000"/>
                <w:sz w:val="24"/>
              </w:rPr>
            </w:pPr>
            <w:r>
              <w:rPr>
                <w:rFonts w:hint="eastAsia"/>
                <w:color w:val="000000"/>
                <w:sz w:val="24"/>
              </w:rPr>
              <w:t>解决就业问题，维护社会稳定</w:t>
            </w:r>
          </w:p>
        </w:tc>
        <w:tc>
          <w:tcPr>
            <w:tcW w:w="1289" w:type="dxa"/>
            <w:tcBorders>
              <w:top w:val="single" w:color="000000" w:sz="4" w:space="0"/>
              <w:left w:val="single" w:color="000000" w:sz="4" w:space="0"/>
              <w:bottom w:val="single" w:color="000000" w:sz="4" w:space="0"/>
              <w:right w:val="single" w:color="000000" w:sz="4" w:space="0"/>
            </w:tcBorders>
            <w:vAlign w:val="center"/>
          </w:tcPr>
          <w:p>
            <w:pPr>
              <w:keepNext/>
              <w:keepLines w:val="0"/>
              <w:pageBreakBefore w:val="0"/>
              <w:widowControl w:val="0"/>
              <w:kinsoku w:val="0"/>
              <w:wordWrap/>
              <w:overflowPunct w:val="0"/>
              <w:topLinePunct w:val="0"/>
              <w:autoSpaceDE w:val="0"/>
              <w:autoSpaceDN w:val="0"/>
              <w:bidi w:val="0"/>
              <w:adjustRightInd w:val="0"/>
              <w:snapToGrid w:val="0"/>
              <w:spacing w:line="240" w:lineRule="auto"/>
              <w:jc w:val="left"/>
              <w:rPr>
                <w:color w:val="000000"/>
                <w:sz w:val="24"/>
              </w:rPr>
            </w:pPr>
            <w:r>
              <w:rPr>
                <w:rFonts w:hint="eastAsia"/>
                <w:color w:val="000000"/>
                <w:sz w:val="24"/>
              </w:rPr>
              <w:t>=1</w:t>
            </w:r>
          </w:p>
        </w:tc>
        <w:tc>
          <w:tcPr>
            <w:tcW w:w="1058" w:type="dxa"/>
            <w:tcBorders>
              <w:top w:val="single" w:color="000000" w:sz="4" w:space="0"/>
              <w:left w:val="single" w:color="000000" w:sz="4" w:space="0"/>
              <w:bottom w:val="single" w:color="000000" w:sz="4" w:space="0"/>
              <w:right w:val="single" w:color="000000" w:sz="4" w:space="0"/>
            </w:tcBorders>
            <w:vAlign w:val="center"/>
          </w:tcPr>
          <w:p>
            <w:pPr>
              <w:keepNext/>
              <w:keepLines w:val="0"/>
              <w:pageBreakBefore w:val="0"/>
              <w:widowControl w:val="0"/>
              <w:kinsoku w:val="0"/>
              <w:wordWrap/>
              <w:overflowPunct w:val="0"/>
              <w:topLinePunct w:val="0"/>
              <w:autoSpaceDE w:val="0"/>
              <w:autoSpaceDN w:val="0"/>
              <w:bidi w:val="0"/>
              <w:adjustRightInd w:val="0"/>
              <w:snapToGrid w:val="0"/>
              <w:spacing w:line="240" w:lineRule="auto"/>
              <w:jc w:val="left"/>
              <w:rPr>
                <w:color w:val="000000"/>
                <w:sz w:val="24"/>
              </w:rPr>
            </w:pPr>
            <w:r>
              <w:rPr>
                <w:rFonts w:hint="eastAsia"/>
                <w:color w:val="000000"/>
                <w:sz w:val="24"/>
              </w:rPr>
              <w:t>完成值</w:t>
            </w:r>
          </w:p>
        </w:tc>
        <w:tc>
          <w:tcPr>
            <w:tcW w:w="926" w:type="dxa"/>
            <w:tcBorders>
              <w:top w:val="single" w:color="000000" w:sz="4" w:space="0"/>
              <w:left w:val="single" w:color="000000" w:sz="4" w:space="0"/>
              <w:bottom w:val="single" w:color="000000" w:sz="4" w:space="0"/>
              <w:right w:val="single" w:color="000000" w:sz="4" w:space="0"/>
            </w:tcBorders>
            <w:vAlign w:val="center"/>
          </w:tcPr>
          <w:p>
            <w:pPr>
              <w:keepNext/>
              <w:keepLines w:val="0"/>
              <w:pageBreakBefore w:val="0"/>
              <w:widowControl w:val="0"/>
              <w:kinsoku w:val="0"/>
              <w:wordWrap/>
              <w:overflowPunct w:val="0"/>
              <w:topLinePunct w:val="0"/>
              <w:autoSpaceDE w:val="0"/>
              <w:autoSpaceDN w:val="0"/>
              <w:bidi w:val="0"/>
              <w:adjustRightInd w:val="0"/>
              <w:snapToGrid w:val="0"/>
              <w:spacing w:line="240" w:lineRule="auto"/>
              <w:jc w:val="left"/>
              <w:rPr>
                <w:color w:val="000000"/>
                <w:sz w:val="24"/>
              </w:rPr>
            </w:pPr>
            <w:r>
              <w:rPr>
                <w:rFonts w:hint="eastAsia"/>
                <w:color w:val="000000"/>
                <w:sz w:val="24"/>
              </w:rPr>
              <w:t>10</w:t>
            </w:r>
          </w:p>
        </w:tc>
        <w:tc>
          <w:tcPr>
            <w:tcW w:w="1113" w:type="dxa"/>
            <w:tcBorders>
              <w:top w:val="single" w:color="000000" w:sz="4" w:space="0"/>
              <w:left w:val="single" w:color="000000" w:sz="4" w:space="0"/>
              <w:bottom w:val="single" w:color="000000" w:sz="4" w:space="0"/>
              <w:right w:val="single" w:color="000000" w:sz="4" w:space="0"/>
            </w:tcBorders>
            <w:vAlign w:val="center"/>
          </w:tcPr>
          <w:p>
            <w:pPr>
              <w:keepNext/>
              <w:keepLines w:val="0"/>
              <w:pageBreakBefore w:val="0"/>
              <w:widowControl w:val="0"/>
              <w:kinsoku w:val="0"/>
              <w:wordWrap/>
              <w:overflowPunct w:val="0"/>
              <w:topLinePunct w:val="0"/>
              <w:autoSpaceDE w:val="0"/>
              <w:autoSpaceDN w:val="0"/>
              <w:bidi w:val="0"/>
              <w:adjustRightInd w:val="0"/>
              <w:snapToGrid w:val="0"/>
              <w:spacing w:line="240" w:lineRule="auto"/>
              <w:jc w:val="left"/>
              <w:rPr>
                <w:color w:val="000000"/>
                <w:sz w:val="24"/>
              </w:rPr>
            </w:pPr>
            <w:r>
              <w:rPr>
                <w:rFonts w:hint="eastAsia"/>
                <w:color w:val="000000"/>
                <w:sz w:val="24"/>
              </w:rPr>
              <w:t>1</w:t>
            </w:r>
          </w:p>
        </w:tc>
      </w:tr>
      <w:tr>
        <w:tblPrEx>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vAlign w:val="center"/>
          </w:tcPr>
          <w:p>
            <w:pPr>
              <w:keepNext/>
              <w:keepLines w:val="0"/>
              <w:pageBreakBefore w:val="0"/>
              <w:widowControl w:val="0"/>
              <w:kinsoku w:val="0"/>
              <w:wordWrap/>
              <w:overflowPunct w:val="0"/>
              <w:topLinePunct w:val="0"/>
              <w:autoSpaceDE w:val="0"/>
              <w:autoSpaceDN w:val="0"/>
              <w:bidi w:val="0"/>
              <w:adjustRightInd w:val="0"/>
              <w:snapToGrid w:val="0"/>
              <w:spacing w:line="240" w:lineRule="auto"/>
              <w:jc w:val="center"/>
              <w:rPr>
                <w:color w:val="000000"/>
                <w:sz w:val="24"/>
              </w:rPr>
            </w:pPr>
          </w:p>
        </w:tc>
        <w:tc>
          <w:tcPr>
            <w:tcW w:w="1347" w:type="dxa"/>
            <w:tcBorders>
              <w:top w:val="single" w:color="000000" w:sz="4" w:space="0"/>
              <w:left w:val="single" w:color="000000" w:sz="4" w:space="0"/>
              <w:bottom w:val="single" w:color="000000" w:sz="4" w:space="0"/>
              <w:right w:val="single" w:color="000000" w:sz="4" w:space="0"/>
            </w:tcBorders>
            <w:vAlign w:val="center"/>
          </w:tcPr>
          <w:p>
            <w:pPr>
              <w:keepNext/>
              <w:keepLines w:val="0"/>
              <w:pageBreakBefore w:val="0"/>
              <w:widowControl w:val="0"/>
              <w:kinsoku w:val="0"/>
              <w:wordWrap/>
              <w:overflowPunct w:val="0"/>
              <w:topLinePunct w:val="0"/>
              <w:autoSpaceDE w:val="0"/>
              <w:autoSpaceDN w:val="0"/>
              <w:bidi w:val="0"/>
              <w:adjustRightInd w:val="0"/>
              <w:snapToGrid w:val="0"/>
              <w:spacing w:line="240" w:lineRule="auto"/>
              <w:jc w:val="center"/>
              <w:textAlignment w:val="center"/>
              <w:rPr>
                <w:color w:val="000000"/>
                <w:sz w:val="24"/>
              </w:rPr>
            </w:pPr>
            <w:r>
              <w:rPr>
                <w:color w:val="000000"/>
                <w:kern w:val="0"/>
                <w:sz w:val="24"/>
              </w:rPr>
              <w:t>满意度指标</w:t>
            </w:r>
          </w:p>
        </w:tc>
        <w:tc>
          <w:tcPr>
            <w:tcW w:w="1273" w:type="dxa"/>
            <w:tcBorders>
              <w:top w:val="single" w:color="000000" w:sz="4" w:space="0"/>
              <w:left w:val="single" w:color="000000" w:sz="4" w:space="0"/>
              <w:bottom w:val="single" w:color="000000" w:sz="4" w:space="0"/>
              <w:right w:val="single" w:color="000000" w:sz="4" w:space="0"/>
            </w:tcBorders>
            <w:vAlign w:val="center"/>
          </w:tcPr>
          <w:p>
            <w:pPr>
              <w:keepNext/>
              <w:keepLines w:val="0"/>
              <w:pageBreakBefore w:val="0"/>
              <w:widowControl w:val="0"/>
              <w:kinsoku w:val="0"/>
              <w:wordWrap/>
              <w:overflowPunct w:val="0"/>
              <w:topLinePunct w:val="0"/>
              <w:autoSpaceDE w:val="0"/>
              <w:autoSpaceDN w:val="0"/>
              <w:bidi w:val="0"/>
              <w:adjustRightInd w:val="0"/>
              <w:snapToGrid w:val="0"/>
              <w:spacing w:line="240" w:lineRule="auto"/>
              <w:jc w:val="center"/>
              <w:textAlignment w:val="center"/>
              <w:rPr>
                <w:color w:val="000000"/>
                <w:sz w:val="24"/>
              </w:rPr>
            </w:pPr>
            <w:r>
              <w:rPr>
                <w:color w:val="000000"/>
                <w:kern w:val="0"/>
                <w:sz w:val="24"/>
              </w:rPr>
              <w:t>满意度指标</w:t>
            </w:r>
          </w:p>
        </w:tc>
        <w:tc>
          <w:tcPr>
            <w:tcW w:w="1100" w:type="dxa"/>
            <w:tcBorders>
              <w:top w:val="single" w:color="000000" w:sz="4" w:space="0"/>
              <w:left w:val="single" w:color="000000" w:sz="4" w:space="0"/>
              <w:bottom w:val="single" w:color="000000" w:sz="4" w:space="0"/>
              <w:right w:val="single" w:color="000000" w:sz="4" w:space="0"/>
            </w:tcBorders>
            <w:vAlign w:val="center"/>
          </w:tcPr>
          <w:p>
            <w:pPr>
              <w:keepNext/>
              <w:keepLines w:val="0"/>
              <w:pageBreakBefore w:val="0"/>
              <w:widowControl w:val="0"/>
              <w:kinsoku w:val="0"/>
              <w:wordWrap/>
              <w:overflowPunct w:val="0"/>
              <w:topLinePunct w:val="0"/>
              <w:autoSpaceDE w:val="0"/>
              <w:autoSpaceDN w:val="0"/>
              <w:bidi w:val="0"/>
              <w:adjustRightInd w:val="0"/>
              <w:snapToGrid w:val="0"/>
              <w:spacing w:line="240" w:lineRule="auto"/>
              <w:jc w:val="left"/>
              <w:rPr>
                <w:color w:val="000000"/>
                <w:sz w:val="24"/>
              </w:rPr>
            </w:pPr>
            <w:r>
              <w:rPr>
                <w:rFonts w:hint="eastAsia"/>
                <w:color w:val="000000"/>
                <w:sz w:val="24"/>
              </w:rPr>
              <w:t>服务对象满意度指标</w:t>
            </w:r>
          </w:p>
        </w:tc>
        <w:tc>
          <w:tcPr>
            <w:tcW w:w="1145" w:type="dxa"/>
            <w:tcBorders>
              <w:top w:val="single" w:color="000000" w:sz="4" w:space="0"/>
              <w:left w:val="single" w:color="000000" w:sz="4" w:space="0"/>
              <w:bottom w:val="single" w:color="000000" w:sz="4" w:space="0"/>
              <w:right w:val="single" w:color="000000" w:sz="4" w:space="0"/>
            </w:tcBorders>
            <w:vAlign w:val="center"/>
          </w:tcPr>
          <w:p>
            <w:pPr>
              <w:keepNext/>
              <w:keepLines w:val="0"/>
              <w:pageBreakBefore w:val="0"/>
              <w:widowControl w:val="0"/>
              <w:kinsoku w:val="0"/>
              <w:wordWrap/>
              <w:overflowPunct w:val="0"/>
              <w:topLinePunct w:val="0"/>
              <w:autoSpaceDE w:val="0"/>
              <w:autoSpaceDN w:val="0"/>
              <w:bidi w:val="0"/>
              <w:adjustRightInd w:val="0"/>
              <w:snapToGrid w:val="0"/>
              <w:spacing w:line="240" w:lineRule="auto"/>
              <w:jc w:val="left"/>
              <w:rPr>
                <w:color w:val="000000"/>
                <w:sz w:val="24"/>
              </w:rPr>
            </w:pPr>
            <w:r>
              <w:rPr>
                <w:rFonts w:hint="eastAsia"/>
                <w:color w:val="000000"/>
                <w:sz w:val="24"/>
              </w:rPr>
              <w:t>全市院前急救满意度</w:t>
            </w:r>
          </w:p>
        </w:tc>
        <w:tc>
          <w:tcPr>
            <w:tcW w:w="1289" w:type="dxa"/>
            <w:tcBorders>
              <w:top w:val="single" w:color="000000" w:sz="4" w:space="0"/>
              <w:left w:val="single" w:color="000000" w:sz="4" w:space="0"/>
              <w:bottom w:val="single" w:color="000000" w:sz="4" w:space="0"/>
              <w:right w:val="single" w:color="000000" w:sz="4" w:space="0"/>
            </w:tcBorders>
            <w:vAlign w:val="center"/>
          </w:tcPr>
          <w:p>
            <w:pPr>
              <w:keepNext/>
              <w:keepLines w:val="0"/>
              <w:pageBreakBefore w:val="0"/>
              <w:widowControl w:val="0"/>
              <w:kinsoku w:val="0"/>
              <w:wordWrap/>
              <w:overflowPunct w:val="0"/>
              <w:topLinePunct w:val="0"/>
              <w:autoSpaceDE w:val="0"/>
              <w:autoSpaceDN w:val="0"/>
              <w:bidi w:val="0"/>
              <w:adjustRightInd w:val="0"/>
              <w:snapToGrid w:val="0"/>
              <w:spacing w:line="240" w:lineRule="auto"/>
              <w:jc w:val="left"/>
              <w:rPr>
                <w:color w:val="000000"/>
                <w:sz w:val="24"/>
              </w:rPr>
            </w:pPr>
            <w:r>
              <w:rPr>
                <w:rFonts w:hint="eastAsia"/>
                <w:color w:val="000000"/>
                <w:sz w:val="24"/>
              </w:rPr>
              <w:t>≥95</w:t>
            </w:r>
          </w:p>
        </w:tc>
        <w:tc>
          <w:tcPr>
            <w:tcW w:w="1058" w:type="dxa"/>
            <w:tcBorders>
              <w:top w:val="single" w:color="000000" w:sz="4" w:space="0"/>
              <w:left w:val="single" w:color="000000" w:sz="4" w:space="0"/>
              <w:bottom w:val="single" w:color="000000" w:sz="4" w:space="0"/>
              <w:right w:val="single" w:color="000000" w:sz="4" w:space="0"/>
            </w:tcBorders>
            <w:vAlign w:val="center"/>
          </w:tcPr>
          <w:p>
            <w:pPr>
              <w:keepNext/>
              <w:keepLines w:val="0"/>
              <w:pageBreakBefore w:val="0"/>
              <w:widowControl w:val="0"/>
              <w:kinsoku w:val="0"/>
              <w:wordWrap/>
              <w:overflowPunct w:val="0"/>
              <w:topLinePunct w:val="0"/>
              <w:autoSpaceDE w:val="0"/>
              <w:autoSpaceDN w:val="0"/>
              <w:bidi w:val="0"/>
              <w:adjustRightInd w:val="0"/>
              <w:snapToGrid w:val="0"/>
              <w:spacing w:line="240" w:lineRule="auto"/>
              <w:jc w:val="left"/>
              <w:rPr>
                <w:color w:val="000000"/>
                <w:sz w:val="24"/>
              </w:rPr>
            </w:pPr>
            <w:r>
              <w:rPr>
                <w:rFonts w:hint="eastAsia"/>
                <w:color w:val="000000"/>
                <w:sz w:val="24"/>
              </w:rPr>
              <w:t>%</w:t>
            </w:r>
          </w:p>
        </w:tc>
        <w:tc>
          <w:tcPr>
            <w:tcW w:w="926" w:type="dxa"/>
            <w:tcBorders>
              <w:top w:val="single" w:color="000000" w:sz="4" w:space="0"/>
              <w:left w:val="single" w:color="000000" w:sz="4" w:space="0"/>
              <w:bottom w:val="single" w:color="000000" w:sz="4" w:space="0"/>
              <w:right w:val="single" w:color="000000" w:sz="4" w:space="0"/>
            </w:tcBorders>
            <w:vAlign w:val="center"/>
          </w:tcPr>
          <w:p>
            <w:pPr>
              <w:keepNext/>
              <w:keepLines w:val="0"/>
              <w:pageBreakBefore w:val="0"/>
              <w:widowControl w:val="0"/>
              <w:kinsoku w:val="0"/>
              <w:wordWrap/>
              <w:overflowPunct w:val="0"/>
              <w:topLinePunct w:val="0"/>
              <w:autoSpaceDE w:val="0"/>
              <w:autoSpaceDN w:val="0"/>
              <w:bidi w:val="0"/>
              <w:adjustRightInd w:val="0"/>
              <w:snapToGrid w:val="0"/>
              <w:spacing w:line="240" w:lineRule="auto"/>
              <w:jc w:val="left"/>
              <w:rPr>
                <w:color w:val="000000"/>
                <w:sz w:val="24"/>
              </w:rPr>
            </w:pPr>
            <w:r>
              <w:rPr>
                <w:rFonts w:hint="eastAsia"/>
                <w:color w:val="000000"/>
                <w:sz w:val="24"/>
              </w:rPr>
              <w:t>10</w:t>
            </w:r>
          </w:p>
        </w:tc>
        <w:tc>
          <w:tcPr>
            <w:tcW w:w="1113" w:type="dxa"/>
            <w:tcBorders>
              <w:top w:val="single" w:color="000000" w:sz="4" w:space="0"/>
              <w:left w:val="single" w:color="000000" w:sz="4" w:space="0"/>
              <w:bottom w:val="single" w:color="000000" w:sz="4" w:space="0"/>
              <w:right w:val="single" w:color="000000" w:sz="4" w:space="0"/>
            </w:tcBorders>
            <w:vAlign w:val="center"/>
          </w:tcPr>
          <w:p>
            <w:pPr>
              <w:keepNext/>
              <w:keepLines w:val="0"/>
              <w:pageBreakBefore w:val="0"/>
              <w:widowControl w:val="0"/>
              <w:kinsoku w:val="0"/>
              <w:wordWrap/>
              <w:overflowPunct w:val="0"/>
              <w:topLinePunct w:val="0"/>
              <w:autoSpaceDE w:val="0"/>
              <w:autoSpaceDN w:val="0"/>
              <w:bidi w:val="0"/>
              <w:adjustRightInd w:val="0"/>
              <w:snapToGrid w:val="0"/>
              <w:spacing w:line="240" w:lineRule="auto"/>
              <w:jc w:val="left"/>
              <w:rPr>
                <w:color w:val="000000"/>
                <w:sz w:val="24"/>
              </w:rPr>
            </w:pPr>
            <w:r>
              <w:rPr>
                <w:rFonts w:hint="eastAsia"/>
                <w:color w:val="000000"/>
                <w:sz w:val="24"/>
              </w:rPr>
              <w:t>96</w:t>
            </w:r>
          </w:p>
        </w:tc>
      </w:tr>
    </w:tbl>
    <w:p>
      <w:pPr>
        <w:ind w:firstLine="420" w:firstLineChars="200"/>
        <w:jc w:val="left"/>
      </w:pPr>
    </w:p>
    <w:p>
      <w:pPr>
        <w:pStyle w:val="38"/>
        <w:spacing w:line="620" w:lineRule="exact"/>
        <w:jc w:val="center"/>
        <w:rPr>
          <w:rFonts w:hint="eastAsia" w:ascii="方正小标宋简体" w:hAnsi="方正小标宋简体" w:eastAsia="方正小标宋简体" w:cs="方正小标宋简体"/>
          <w:color w:val="auto"/>
          <w:kern w:val="2"/>
          <w:sz w:val="44"/>
          <w:szCs w:val="44"/>
          <w:lang w:val="en-US"/>
        </w:rPr>
      </w:pPr>
    </w:p>
    <w:p>
      <w:pPr>
        <w:spacing w:line="578" w:lineRule="exact"/>
        <w:rPr>
          <w:rFonts w:ascii="方正黑体_GBK" w:hAnsi="方正黑体_GBK" w:eastAsia="方正黑体_GBK" w:cs="方正黑体_GBK"/>
          <w:sz w:val="33"/>
          <w:szCs w:val="33"/>
        </w:rPr>
      </w:pPr>
      <w:r>
        <w:rPr>
          <w:rFonts w:hint="eastAsia" w:ascii="方正小标宋简体" w:hAnsi="方正小标宋简体" w:eastAsia="方正小标宋简体" w:cs="方正小标宋简体"/>
          <w:color w:val="auto"/>
          <w:kern w:val="2"/>
          <w:sz w:val="44"/>
          <w:szCs w:val="44"/>
          <w:lang w:val="en-US" w:eastAsia="zh-CN"/>
        </w:rPr>
        <w:tab/>
      </w:r>
      <w:r>
        <w:rPr>
          <w:rFonts w:hint="eastAsia" w:ascii="方正黑体_GBK" w:hAnsi="方正黑体_GBK" w:eastAsia="方正黑体_GBK" w:cs="方正黑体_GBK"/>
          <w:sz w:val="33"/>
          <w:szCs w:val="33"/>
        </w:rPr>
        <w:t>附件</w:t>
      </w:r>
      <w:r>
        <w:rPr>
          <w:rFonts w:hint="eastAsia" w:eastAsia="方正黑体_GBK"/>
          <w:sz w:val="33"/>
          <w:szCs w:val="33"/>
        </w:rPr>
        <w:t>2</w:t>
      </w:r>
    </w:p>
    <w:p>
      <w:pPr>
        <w:pStyle w:val="38"/>
        <w:tabs>
          <w:tab w:val="left" w:pos="216"/>
        </w:tabs>
        <w:spacing w:line="620" w:lineRule="exact"/>
        <w:jc w:val="left"/>
        <w:rPr>
          <w:rFonts w:hint="eastAsia" w:ascii="方正小标宋简体" w:hAnsi="方正小标宋简体" w:eastAsia="方正小标宋简体" w:cs="方正小标宋简体"/>
          <w:color w:val="auto"/>
          <w:kern w:val="2"/>
          <w:sz w:val="44"/>
          <w:szCs w:val="44"/>
          <w:lang w:val="en-US" w:eastAsia="zh-CN"/>
        </w:rPr>
      </w:pPr>
    </w:p>
    <w:p>
      <w:pPr>
        <w:pStyle w:val="38"/>
        <w:spacing w:line="620" w:lineRule="exact"/>
        <w:jc w:val="center"/>
        <w:rPr>
          <w:rFonts w:ascii="方正小标宋简体" w:hAnsi="方正小标宋简体" w:eastAsia="方正小标宋简体" w:cs="方正小标宋简体"/>
          <w:color w:val="auto"/>
          <w:kern w:val="2"/>
          <w:sz w:val="44"/>
          <w:szCs w:val="44"/>
          <w:lang w:val="en-US"/>
        </w:rPr>
      </w:pPr>
      <w:r>
        <w:rPr>
          <w:rFonts w:hint="eastAsia" w:ascii="方正小标宋简体" w:hAnsi="方正小标宋简体" w:eastAsia="方正小标宋简体" w:cs="方正小标宋简体"/>
          <w:color w:val="auto"/>
          <w:kern w:val="2"/>
          <w:sz w:val="44"/>
          <w:szCs w:val="44"/>
          <w:lang w:val="en-US"/>
        </w:rPr>
        <w:t>遂宁市紧急医疗救援中心</w:t>
      </w:r>
    </w:p>
    <w:p>
      <w:pPr>
        <w:pStyle w:val="38"/>
        <w:spacing w:line="620" w:lineRule="exact"/>
        <w:jc w:val="center"/>
        <w:rPr>
          <w:rFonts w:ascii="Times New Roman" w:hAnsi="Times New Roman" w:eastAsia="方正小标宋简体"/>
          <w:color w:val="auto"/>
          <w:kern w:val="2"/>
          <w:sz w:val="44"/>
          <w:szCs w:val="44"/>
        </w:rPr>
      </w:pPr>
      <w:r>
        <w:rPr>
          <w:rFonts w:hint="eastAsia" w:ascii="方正小标宋简体" w:hAnsi="方正小标宋简体" w:eastAsia="方正小标宋简体" w:cs="方正小标宋简体"/>
          <w:color w:val="auto"/>
          <w:kern w:val="2"/>
          <w:sz w:val="44"/>
          <w:szCs w:val="44"/>
          <w:lang w:val="en-US"/>
        </w:rPr>
        <w:t>2024年</w:t>
      </w:r>
      <w:r>
        <w:rPr>
          <w:rFonts w:hint="eastAsia" w:ascii="方正小标宋简体" w:hAnsi="方正小标宋简体" w:eastAsia="方正小标宋简体" w:cs="方正小标宋简体"/>
          <w:color w:val="auto"/>
          <w:kern w:val="2"/>
          <w:sz w:val="44"/>
          <w:szCs w:val="44"/>
        </w:rPr>
        <w:t>专项预算项目支出绩效自评报告</w:t>
      </w:r>
    </w:p>
    <w:p>
      <w:pPr>
        <w:pStyle w:val="38"/>
        <w:spacing w:line="590" w:lineRule="exact"/>
        <w:ind w:firstLine="640"/>
        <w:jc w:val="center"/>
        <w:rPr>
          <w:rFonts w:ascii="宋体" w:hAnsi="宋体"/>
          <w:color w:val="auto"/>
          <w:kern w:val="2"/>
          <w:sz w:val="32"/>
          <w:szCs w:val="32"/>
        </w:rPr>
      </w:pPr>
    </w:p>
    <w:p>
      <w:pPr>
        <w:spacing w:line="590" w:lineRule="exact"/>
        <w:ind w:firstLine="720" w:firstLineChars="200"/>
        <w:rPr>
          <w:rFonts w:ascii="黑体" w:hAnsi="黑体" w:eastAsia="黑体" w:cs="黑体"/>
          <w:sz w:val="36"/>
          <w:szCs w:val="36"/>
          <w:lang w:val="zh-CN"/>
        </w:rPr>
      </w:pPr>
      <w:r>
        <w:rPr>
          <w:rFonts w:hint="eastAsia" w:ascii="黑体" w:hAnsi="黑体" w:eastAsia="黑体" w:cs="黑体"/>
          <w:sz w:val="36"/>
          <w:szCs w:val="36"/>
        </w:rPr>
        <w:t>一、</w:t>
      </w:r>
      <w:r>
        <w:rPr>
          <w:rFonts w:hint="eastAsia" w:ascii="黑体" w:hAnsi="黑体" w:eastAsia="黑体" w:cs="黑体"/>
          <w:sz w:val="36"/>
          <w:szCs w:val="36"/>
          <w:lang w:val="zh-CN"/>
        </w:rPr>
        <w:t>项目概况</w:t>
      </w:r>
    </w:p>
    <w:p>
      <w:pPr>
        <w:widowControl/>
        <w:spacing w:line="590" w:lineRule="exact"/>
        <w:ind w:firstLine="642" w:firstLineChars="200"/>
        <w:contextualSpacing/>
        <w:jc w:val="left"/>
        <w:rPr>
          <w:rFonts w:ascii="楷体_GB2312" w:hAnsi="宋体" w:eastAsia="楷体_GB2312"/>
          <w:b/>
          <w:sz w:val="32"/>
          <w:szCs w:val="32"/>
          <w:lang w:val="zh-CN"/>
        </w:rPr>
      </w:pPr>
      <w:r>
        <w:rPr>
          <w:rFonts w:hint="eastAsia" w:ascii="楷体_GB2312" w:hAnsi="宋体" w:eastAsia="楷体_GB2312"/>
          <w:b/>
          <w:sz w:val="32"/>
          <w:szCs w:val="32"/>
          <w:lang w:val="zh-CN"/>
        </w:rPr>
        <w:t>（一）设立背景及基本情况。</w:t>
      </w:r>
    </w:p>
    <w:p>
      <w:pPr>
        <w:widowControl/>
        <w:spacing w:line="590" w:lineRule="exact"/>
        <w:ind w:firstLine="640" w:firstLineChars="200"/>
        <w:contextualSpacing/>
        <w:jc w:val="left"/>
        <w:rPr>
          <w:rFonts w:ascii="仿宋" w:hAnsi="仿宋" w:eastAsia="仿宋" w:cs="仿宋"/>
          <w:bCs/>
          <w:sz w:val="32"/>
          <w:szCs w:val="32"/>
          <w:lang w:val="zh-CN"/>
        </w:rPr>
      </w:pPr>
      <w:r>
        <w:rPr>
          <w:rFonts w:hint="eastAsia" w:ascii="仿宋" w:hAnsi="仿宋" w:eastAsia="仿宋" w:cs="仿宋"/>
          <w:bCs/>
          <w:sz w:val="32"/>
          <w:szCs w:val="32"/>
          <w:lang w:val="zh-CN"/>
        </w:rPr>
        <w:t>遂宁市紧急医疗救援中心主要承担着全市120急救的统一调度、统一指挥，开展院前急救及转运，急救知识宣传普及、技术培训和急救医疗科研及学术交流，负责全市突发公共卫生事件的医疗急救指挥、调度、信息收集和报告，与110、119、122等全面联系形成遂宁市社会应急联动系统。</w:t>
      </w:r>
    </w:p>
    <w:p>
      <w:pPr>
        <w:widowControl/>
        <w:spacing w:line="590" w:lineRule="exact"/>
        <w:ind w:firstLine="640" w:firstLineChars="200"/>
        <w:contextualSpacing/>
        <w:jc w:val="left"/>
        <w:rPr>
          <w:rFonts w:ascii="仿宋" w:hAnsi="仿宋" w:eastAsia="仿宋" w:cs="仿宋"/>
          <w:kern w:val="0"/>
          <w:sz w:val="32"/>
          <w:szCs w:val="32"/>
          <w:shd w:val="clear" w:color="auto" w:fill="FFFFFF"/>
          <w:lang w:val="zh-CN"/>
        </w:rPr>
      </w:pPr>
      <w:r>
        <w:rPr>
          <w:rFonts w:hint="eastAsia" w:ascii="仿宋" w:hAnsi="仿宋" w:eastAsia="仿宋" w:cs="仿宋"/>
          <w:bCs/>
          <w:sz w:val="32"/>
          <w:szCs w:val="32"/>
          <w:lang w:val="zh-CN"/>
        </w:rPr>
        <w:t>遂宁市紧急医疗救援中心属遂宁市卫生健康委员会二级事业单位，202</w:t>
      </w:r>
      <w:r>
        <w:rPr>
          <w:rFonts w:hint="eastAsia" w:ascii="仿宋" w:hAnsi="仿宋" w:eastAsia="仿宋" w:cs="仿宋"/>
          <w:bCs/>
          <w:sz w:val="32"/>
          <w:szCs w:val="32"/>
        </w:rPr>
        <w:t>4</w:t>
      </w:r>
      <w:r>
        <w:rPr>
          <w:rFonts w:hint="eastAsia" w:ascii="仿宋" w:hAnsi="仿宋" w:eastAsia="仿宋" w:cs="仿宋"/>
          <w:bCs/>
          <w:sz w:val="32"/>
          <w:szCs w:val="32"/>
          <w:lang w:val="zh-CN"/>
        </w:rPr>
        <w:t>年先后收到年初预算专项资金</w:t>
      </w:r>
      <w:r>
        <w:rPr>
          <w:rFonts w:hint="eastAsia" w:ascii="仿宋" w:hAnsi="仿宋" w:eastAsia="仿宋" w:cs="仿宋"/>
          <w:bCs/>
          <w:sz w:val="32"/>
          <w:szCs w:val="32"/>
        </w:rPr>
        <w:t>120指挥调度系统运行经费20.42万元；12月收到遂财社</w:t>
      </w:r>
      <w:r>
        <w:rPr>
          <w:rFonts w:hint="eastAsia" w:ascii="仿宋" w:hAnsi="仿宋" w:eastAsia="仿宋" w:cs="仿宋"/>
          <w:bCs/>
          <w:sz w:val="32"/>
          <w:szCs w:val="32"/>
          <w:lang w:eastAsia="zh-CN"/>
        </w:rPr>
        <w:t>〔2024〕128号</w:t>
      </w:r>
      <w:r>
        <w:rPr>
          <w:rFonts w:hint="eastAsia" w:ascii="仿宋" w:hAnsi="仿宋" w:eastAsia="仿宋" w:cs="仿宋"/>
          <w:bCs/>
          <w:sz w:val="32"/>
          <w:szCs w:val="32"/>
          <w:lang w:val="zh-CN"/>
        </w:rPr>
        <w:t>文件下达的中医药传承创新市级补助资金</w:t>
      </w:r>
      <w:r>
        <w:rPr>
          <w:rFonts w:hint="eastAsia" w:ascii="仿宋" w:hAnsi="仿宋" w:eastAsia="仿宋" w:cs="仿宋"/>
          <w:bCs/>
          <w:sz w:val="32"/>
          <w:szCs w:val="32"/>
        </w:rPr>
        <w:t>25万元、</w:t>
      </w:r>
      <w:r>
        <w:rPr>
          <w:rFonts w:hint="eastAsia" w:ascii="仿宋" w:hAnsi="仿宋" w:eastAsia="仿宋" w:cs="仿宋"/>
          <w:bCs/>
          <w:sz w:val="32"/>
          <w:szCs w:val="32"/>
          <w:lang w:val="zh-CN"/>
        </w:rPr>
        <w:t>遂财社〔2024〕129号文件下达</w:t>
      </w:r>
      <w:r>
        <w:rPr>
          <w:rFonts w:hint="eastAsia" w:ascii="仿宋" w:hAnsi="仿宋" w:eastAsia="仿宋" w:cs="仿宋"/>
          <w:bCs/>
          <w:sz w:val="32"/>
          <w:szCs w:val="32"/>
        </w:rPr>
        <w:t>120指挥调度系统运行经费中期调整资金3.79万元。</w:t>
      </w:r>
    </w:p>
    <w:p>
      <w:pPr>
        <w:numPr>
          <w:ilvl w:val="0"/>
          <w:numId w:val="10"/>
        </w:numPr>
        <w:spacing w:line="590" w:lineRule="exact"/>
        <w:ind w:firstLine="642" w:firstLineChars="200"/>
        <w:rPr>
          <w:rFonts w:ascii="仿宋" w:hAnsi="仿宋" w:eastAsia="仿宋" w:cs="仿宋"/>
          <w:b/>
          <w:sz w:val="32"/>
          <w:szCs w:val="32"/>
        </w:rPr>
      </w:pPr>
      <w:r>
        <w:rPr>
          <w:rFonts w:hint="eastAsia" w:ascii="仿宋" w:hAnsi="仿宋" w:eastAsia="仿宋" w:cs="仿宋"/>
          <w:b/>
          <w:sz w:val="32"/>
          <w:szCs w:val="32"/>
        </w:rPr>
        <w:t>实施目的及支持方向。</w:t>
      </w:r>
    </w:p>
    <w:p>
      <w:pPr>
        <w:spacing w:line="590" w:lineRule="exact"/>
        <w:ind w:firstLine="640" w:firstLineChars="200"/>
        <w:rPr>
          <w:rFonts w:ascii="仿宋" w:hAnsi="仿宋" w:eastAsia="仿宋" w:cs="仿宋"/>
          <w:kern w:val="0"/>
          <w:sz w:val="32"/>
          <w:szCs w:val="32"/>
          <w:shd w:val="clear" w:color="auto" w:fill="FFFFFF"/>
          <w:lang w:val="zh-CN"/>
        </w:rPr>
      </w:pPr>
      <w:r>
        <w:rPr>
          <w:rFonts w:hint="eastAsia" w:ascii="仿宋" w:hAnsi="仿宋" w:eastAsia="仿宋" w:cs="仿宋"/>
          <w:kern w:val="0"/>
          <w:sz w:val="32"/>
          <w:szCs w:val="32"/>
          <w:shd w:val="clear" w:color="auto" w:fill="FFFFFF"/>
        </w:rPr>
        <w:t>一、资金</w:t>
      </w:r>
      <w:r>
        <w:rPr>
          <w:rFonts w:hint="eastAsia" w:ascii="仿宋" w:hAnsi="仿宋" w:eastAsia="仿宋" w:cs="仿宋"/>
          <w:kern w:val="0"/>
          <w:sz w:val="32"/>
          <w:szCs w:val="32"/>
          <w:shd w:val="clear" w:color="auto" w:fill="FFFFFF"/>
          <w:lang w:val="zh-CN"/>
        </w:rPr>
        <w:t>管理办法制定情况：</w:t>
      </w:r>
      <w:r>
        <w:rPr>
          <w:rFonts w:hint="eastAsia" w:ascii="仿宋" w:hAnsi="仿宋" w:eastAsia="仿宋" w:cs="仿宋"/>
          <w:color w:val="000000"/>
          <w:kern w:val="0"/>
          <w:sz w:val="32"/>
          <w:szCs w:val="32"/>
          <w:shd w:val="clear" w:color="auto" w:fill="FFFFFF"/>
          <w:lang w:val="zh-CN"/>
        </w:rPr>
        <w:t>严格遵守《中华人民共和国预算法》，各项经费收入全部纳入预算管理，提高预算精准度，追加调整预算严格执行相应的审批程序，预算内各项资金的来源、使用科目的设置规范化。</w:t>
      </w:r>
    </w:p>
    <w:p>
      <w:pPr>
        <w:pStyle w:val="42"/>
        <w:ind w:firstLine="640" w:firstLineChars="200"/>
        <w:rPr>
          <w:rFonts w:ascii="仿宋" w:hAnsi="仿宋" w:eastAsia="仿宋" w:cs="仿宋"/>
          <w:b w:val="0"/>
          <w:kern w:val="0"/>
          <w:sz w:val="32"/>
          <w:szCs w:val="32"/>
          <w:shd w:val="clear" w:color="auto" w:fill="FFFFFF"/>
          <w:lang w:val="zh-CN"/>
        </w:rPr>
      </w:pPr>
      <w:r>
        <w:rPr>
          <w:rFonts w:hint="eastAsia" w:ascii="仿宋" w:hAnsi="仿宋" w:eastAsia="仿宋" w:cs="仿宋"/>
          <w:b w:val="0"/>
          <w:kern w:val="0"/>
          <w:sz w:val="32"/>
          <w:szCs w:val="32"/>
          <w:shd w:val="clear" w:color="auto" w:fill="FFFFFF"/>
          <w:lang w:val="zh-CN"/>
        </w:rPr>
        <w:t>二、项目实施目的和主要工作任务。</w:t>
      </w:r>
    </w:p>
    <w:p>
      <w:pPr>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 xml:space="preserve">   </w:t>
      </w:r>
      <w:r>
        <w:rPr>
          <w:rFonts w:hint="eastAsia" w:ascii="仿宋" w:hAnsi="仿宋" w:eastAsia="仿宋" w:cs="仿宋"/>
          <w:kern w:val="0"/>
          <w:sz w:val="32"/>
          <w:szCs w:val="32"/>
          <w:shd w:val="clear" w:color="auto" w:fill="FFFFFF"/>
          <w:lang w:eastAsia="zh-CN"/>
        </w:rPr>
        <w:t>1.</w:t>
      </w:r>
      <w:r>
        <w:rPr>
          <w:rFonts w:hint="eastAsia" w:ascii="仿宋" w:hAnsi="仿宋" w:eastAsia="仿宋" w:cs="仿宋"/>
          <w:kern w:val="0"/>
          <w:sz w:val="32"/>
          <w:szCs w:val="32"/>
          <w:shd w:val="clear" w:color="auto" w:fill="FFFFFF"/>
        </w:rPr>
        <w:t>利用计算机网络、语音处理、通信网络及车辆卫星定位等信息技术，实现对区域内院前急救资源的综合管理和对急救事件、突发事件及灾害事件的分析、计划、组织、协调和及时的控制等。</w:t>
      </w:r>
    </w:p>
    <w:p>
      <w:pPr>
        <w:ind w:firstLine="640" w:firstLineChars="200"/>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lang w:eastAsia="zh-CN"/>
        </w:rPr>
        <w:t>2.</w:t>
      </w:r>
      <w:r>
        <w:rPr>
          <w:rFonts w:hint="eastAsia" w:ascii="仿宋" w:hAnsi="仿宋" w:eastAsia="仿宋" w:cs="仿宋"/>
          <w:kern w:val="0"/>
          <w:sz w:val="32"/>
          <w:szCs w:val="32"/>
          <w:shd w:val="clear" w:color="auto" w:fill="FFFFFF"/>
        </w:rPr>
        <w:t>加强院前急救体系建设，强化急救网络医院质控，提升“院端”服务能力和水平，</w:t>
      </w:r>
      <w:r>
        <w:rPr>
          <w:rFonts w:hint="eastAsia" w:ascii="仿宋" w:hAnsi="仿宋" w:eastAsia="仿宋" w:cs="仿宋"/>
          <w:sz w:val="32"/>
          <w:szCs w:val="32"/>
        </w:rPr>
        <w:t>做好内部质控工作，定期对调度员急救知识和技能、调度流程、服务态度等进行现场质控，督促调度人员尽职履责，提升素质，</w:t>
      </w:r>
      <w:r>
        <w:rPr>
          <w:rFonts w:hint="eastAsia" w:ascii="仿宋" w:hAnsi="仿宋" w:eastAsia="仿宋" w:cs="仿宋"/>
          <w:sz w:val="32"/>
          <w:szCs w:val="32"/>
          <w:lang w:eastAsia="zh-CN"/>
        </w:rPr>
        <w:t>扛</w:t>
      </w:r>
      <w:r>
        <w:rPr>
          <w:rFonts w:hint="eastAsia" w:ascii="仿宋" w:hAnsi="仿宋" w:eastAsia="仿宋" w:cs="仿宋"/>
          <w:sz w:val="32"/>
          <w:szCs w:val="32"/>
        </w:rPr>
        <w:t>牢工作责任。</w:t>
      </w:r>
    </w:p>
    <w:p>
      <w:pPr>
        <w:ind w:firstLine="640" w:firstLineChars="200"/>
        <w:rPr>
          <w:rFonts w:ascii="仿宋" w:hAnsi="仿宋" w:eastAsia="仿宋" w:cs="仿宋"/>
          <w:kern w:val="0"/>
          <w:sz w:val="32"/>
          <w:szCs w:val="32"/>
          <w:shd w:val="clear" w:color="auto" w:fill="FFFFFF"/>
          <w:lang w:val="zh-CN"/>
        </w:rPr>
      </w:pPr>
      <w:r>
        <w:rPr>
          <w:rFonts w:hint="eastAsia" w:ascii="仿宋" w:hAnsi="仿宋" w:eastAsia="仿宋" w:cs="仿宋"/>
          <w:kern w:val="0"/>
          <w:sz w:val="32"/>
          <w:szCs w:val="32"/>
          <w:shd w:val="clear" w:color="auto" w:fill="FFFFFF"/>
        </w:rPr>
        <w:t>三、</w:t>
      </w:r>
      <w:r>
        <w:rPr>
          <w:rFonts w:hint="eastAsia" w:ascii="仿宋" w:hAnsi="仿宋" w:eastAsia="仿宋" w:cs="仿宋"/>
          <w:kern w:val="0"/>
          <w:sz w:val="32"/>
          <w:szCs w:val="32"/>
          <w:shd w:val="clear" w:color="auto" w:fill="FFFFFF"/>
          <w:lang w:val="zh-CN"/>
        </w:rPr>
        <w:t>项目支持方向。</w:t>
      </w:r>
    </w:p>
    <w:p>
      <w:pPr>
        <w:pStyle w:val="2"/>
        <w:ind w:firstLine="640" w:firstLineChars="200"/>
        <w:rPr>
          <w:rFonts w:ascii="仿宋" w:hAnsi="仿宋" w:eastAsia="仿宋" w:cs="仿宋"/>
          <w:szCs w:val="32"/>
          <w:lang w:val="zh-CN"/>
        </w:rPr>
      </w:pPr>
      <w:r>
        <w:rPr>
          <w:rFonts w:hint="eastAsia" w:ascii="仿宋" w:hAnsi="仿宋" w:eastAsia="仿宋" w:cs="仿宋"/>
          <w:szCs w:val="32"/>
          <w:lang w:val="zh-CN"/>
        </w:rPr>
        <w:t>为群众提供及时准确的急救医疗服务，保证指挥调度质量提升“院端”服务能力和水平，提升急救知识社会普及率。</w:t>
      </w:r>
    </w:p>
    <w:p>
      <w:pPr>
        <w:widowControl/>
        <w:numPr>
          <w:ilvl w:val="0"/>
          <w:numId w:val="10"/>
        </w:numPr>
        <w:spacing w:line="590" w:lineRule="exact"/>
        <w:ind w:firstLine="642" w:firstLineChars="200"/>
        <w:contextualSpacing/>
        <w:jc w:val="left"/>
        <w:rPr>
          <w:rFonts w:ascii="仿宋" w:hAnsi="仿宋" w:eastAsia="仿宋" w:cs="仿宋"/>
          <w:b/>
          <w:sz w:val="32"/>
          <w:szCs w:val="32"/>
          <w:lang w:val="zh-CN"/>
        </w:rPr>
      </w:pPr>
      <w:r>
        <w:rPr>
          <w:rFonts w:hint="eastAsia" w:ascii="仿宋" w:hAnsi="仿宋" w:eastAsia="仿宋" w:cs="仿宋"/>
          <w:b/>
          <w:sz w:val="32"/>
          <w:szCs w:val="32"/>
        </w:rPr>
        <w:t>预算安排及分配管理</w:t>
      </w:r>
      <w:r>
        <w:rPr>
          <w:rFonts w:hint="eastAsia" w:ascii="仿宋" w:hAnsi="仿宋" w:eastAsia="仿宋" w:cs="仿宋"/>
          <w:b/>
          <w:sz w:val="32"/>
          <w:szCs w:val="32"/>
          <w:lang w:val="zh-CN"/>
        </w:rPr>
        <w:t>。</w:t>
      </w:r>
    </w:p>
    <w:p>
      <w:pPr>
        <w:widowControl/>
        <w:spacing w:line="590" w:lineRule="exact"/>
        <w:ind w:left="420" w:leftChars="200"/>
        <w:contextualSpacing/>
        <w:jc w:val="left"/>
        <w:rPr>
          <w:rFonts w:ascii="仿宋" w:hAnsi="仿宋" w:eastAsia="仿宋" w:cs="仿宋"/>
          <w:kern w:val="0"/>
          <w:sz w:val="32"/>
          <w:szCs w:val="32"/>
          <w:shd w:val="clear" w:color="auto" w:fill="FFFFFF"/>
          <w:lang w:val="zh-CN"/>
        </w:rPr>
      </w:pPr>
      <w:r>
        <w:rPr>
          <w:rFonts w:hint="eastAsia" w:ascii="仿宋" w:hAnsi="仿宋" w:eastAsia="仿宋" w:cs="仿宋"/>
          <w:kern w:val="0"/>
          <w:sz w:val="32"/>
          <w:szCs w:val="32"/>
          <w:shd w:val="clear" w:color="auto" w:fill="FFFFFF"/>
        </w:rPr>
        <w:t>2024年1</w:t>
      </w:r>
      <w:r>
        <w:rPr>
          <w:rFonts w:hint="eastAsia" w:ascii="仿宋" w:hAnsi="仿宋" w:eastAsia="仿宋" w:cs="仿宋"/>
          <w:bCs/>
          <w:sz w:val="32"/>
          <w:szCs w:val="32"/>
        </w:rPr>
        <w:t>20指挥调度系统运行经费24.21万元（其中年初预算20.42万元，中期调整3.79万元）、</w:t>
      </w:r>
      <w:r>
        <w:rPr>
          <w:rFonts w:hint="eastAsia" w:ascii="仿宋" w:hAnsi="仿宋" w:eastAsia="仿宋" w:cs="仿宋"/>
          <w:bCs/>
          <w:sz w:val="32"/>
          <w:szCs w:val="32"/>
          <w:lang w:val="zh-CN"/>
        </w:rPr>
        <w:t>中医药传承创新市级补助资金</w:t>
      </w:r>
      <w:r>
        <w:rPr>
          <w:rFonts w:hint="eastAsia" w:ascii="仿宋" w:hAnsi="仿宋" w:eastAsia="仿宋" w:cs="仿宋"/>
          <w:bCs/>
          <w:sz w:val="32"/>
          <w:szCs w:val="32"/>
        </w:rPr>
        <w:t>25万元。年终使用资金分别为24.19万元、24.99万元，资金使用率分别为99.92%、99.96%。</w:t>
      </w:r>
    </w:p>
    <w:p>
      <w:pPr>
        <w:numPr>
          <w:ilvl w:val="0"/>
          <w:numId w:val="10"/>
        </w:numPr>
        <w:spacing w:line="590" w:lineRule="exact"/>
        <w:ind w:firstLine="642" w:firstLineChars="200"/>
        <w:rPr>
          <w:rFonts w:ascii="仿宋" w:hAnsi="仿宋" w:eastAsia="仿宋" w:cs="仿宋"/>
          <w:b/>
          <w:sz w:val="32"/>
          <w:szCs w:val="32"/>
          <w:lang w:val="zh-CN"/>
        </w:rPr>
      </w:pPr>
      <w:r>
        <w:rPr>
          <w:rFonts w:hint="eastAsia" w:ascii="仿宋" w:hAnsi="仿宋" w:eastAsia="仿宋" w:cs="仿宋"/>
          <w:b/>
          <w:sz w:val="32"/>
          <w:szCs w:val="32"/>
          <w:lang w:val="zh-CN"/>
        </w:rPr>
        <w:t>项目绩效目标设置。</w:t>
      </w:r>
    </w:p>
    <w:p>
      <w:pPr>
        <w:spacing w:line="590" w:lineRule="exact"/>
        <w:ind w:left="420" w:leftChars="200" w:firstLine="320" w:firstLineChars="100"/>
        <w:rPr>
          <w:rFonts w:ascii="仿宋" w:hAnsi="仿宋" w:eastAsia="仿宋" w:cs="仿宋"/>
          <w:bCs/>
          <w:sz w:val="32"/>
          <w:szCs w:val="32"/>
          <w:lang w:val="zh-CN"/>
        </w:rPr>
      </w:pPr>
      <w:r>
        <w:rPr>
          <w:rFonts w:hint="eastAsia" w:ascii="仿宋" w:hAnsi="仿宋" w:eastAsia="仿宋" w:cs="仿宋"/>
          <w:bCs/>
          <w:sz w:val="32"/>
          <w:szCs w:val="32"/>
          <w:lang w:val="zh-CN"/>
        </w:rPr>
        <w:t>项目资金分配选取因素法，充分考虑相关行业事业发展实际和发展需求。加强院前急救体系建设，强化急救网络医院质控，提升“院端”服务能力和水平。我中心对涉及项目支出科室开展了前期培训；业务科室进行资料准备、开展现场评价、进行数据汇总与分析、并报告撰写；绩效自评价小组审核。</w:t>
      </w:r>
    </w:p>
    <w:p>
      <w:pPr>
        <w:spacing w:line="590" w:lineRule="exact"/>
        <w:ind w:firstLine="642" w:firstLineChars="200"/>
        <w:rPr>
          <w:rFonts w:ascii="仿宋" w:hAnsi="仿宋" w:eastAsia="仿宋" w:cs="仿宋"/>
          <w:b/>
          <w:bCs/>
          <w:sz w:val="32"/>
          <w:szCs w:val="32"/>
        </w:rPr>
      </w:pPr>
      <w:r>
        <w:rPr>
          <w:rFonts w:hint="eastAsia" w:ascii="仿宋" w:hAnsi="仿宋" w:eastAsia="仿宋" w:cs="仿宋"/>
          <w:b/>
          <w:bCs/>
          <w:sz w:val="32"/>
          <w:szCs w:val="32"/>
        </w:rPr>
        <w:t>二、评价实施</w:t>
      </w:r>
    </w:p>
    <w:p>
      <w:pPr>
        <w:spacing w:line="590" w:lineRule="exact"/>
        <w:ind w:firstLine="640"/>
        <w:rPr>
          <w:rFonts w:ascii="仿宋" w:hAnsi="仿宋" w:eastAsia="仿宋" w:cs="仿宋"/>
          <w:b/>
          <w:sz w:val="32"/>
          <w:szCs w:val="32"/>
          <w:lang w:val="zh-CN"/>
        </w:rPr>
      </w:pPr>
      <w:r>
        <w:rPr>
          <w:rFonts w:hint="eastAsia" w:ascii="仿宋" w:hAnsi="仿宋" w:eastAsia="仿宋" w:cs="仿宋"/>
          <w:b/>
          <w:sz w:val="32"/>
          <w:szCs w:val="32"/>
          <w:lang w:val="zh-CN"/>
        </w:rPr>
        <w:t>（一）评价目的。</w:t>
      </w:r>
    </w:p>
    <w:p>
      <w:pPr>
        <w:spacing w:line="590" w:lineRule="exact"/>
        <w:ind w:firstLine="640"/>
        <w:rPr>
          <w:rFonts w:ascii="仿宋" w:hAnsi="仿宋" w:eastAsia="仿宋" w:cs="仿宋"/>
          <w:sz w:val="32"/>
          <w:szCs w:val="32"/>
          <w:highlight w:val="green"/>
        </w:rPr>
      </w:pPr>
      <w:r>
        <w:rPr>
          <w:rFonts w:hint="eastAsia" w:ascii="仿宋" w:hAnsi="仿宋" w:eastAsia="仿宋" w:cs="仿宋"/>
          <w:sz w:val="32"/>
          <w:szCs w:val="32"/>
        </w:rPr>
        <w:t>遂宁市紧急医疗救援中心在市委、市政府的正确领导下，在市卫生健康委的关心指导和大力支持下，项目绩效自评补短板、强弱项、建网底、提能力，不断提升群众对院前医疗急救工作的满意度和获得感，全面完成了年度工作任务。</w:t>
      </w:r>
    </w:p>
    <w:p>
      <w:pPr>
        <w:numPr>
          <w:ilvl w:val="0"/>
          <w:numId w:val="11"/>
        </w:numPr>
        <w:spacing w:line="590" w:lineRule="exact"/>
        <w:ind w:firstLine="642" w:firstLineChars="200"/>
        <w:rPr>
          <w:rFonts w:ascii="仿宋" w:hAnsi="仿宋" w:eastAsia="仿宋" w:cs="仿宋"/>
          <w:b/>
          <w:sz w:val="32"/>
          <w:szCs w:val="32"/>
          <w:lang w:val="zh-CN"/>
        </w:rPr>
      </w:pPr>
      <w:r>
        <w:rPr>
          <w:rFonts w:hint="eastAsia" w:ascii="仿宋" w:hAnsi="仿宋" w:eastAsia="仿宋" w:cs="仿宋"/>
          <w:b/>
          <w:sz w:val="32"/>
          <w:szCs w:val="32"/>
          <w:lang w:val="zh-CN"/>
        </w:rPr>
        <w:t>预设问题及评价重点。</w:t>
      </w:r>
    </w:p>
    <w:p>
      <w:pPr>
        <w:spacing w:line="590" w:lineRule="exact"/>
        <w:ind w:firstLine="1280" w:firstLineChars="400"/>
        <w:rPr>
          <w:rFonts w:ascii="仿宋" w:hAnsi="仿宋" w:eastAsia="仿宋" w:cs="仿宋"/>
          <w:sz w:val="32"/>
          <w:szCs w:val="32"/>
        </w:rPr>
      </w:pPr>
      <w:r>
        <w:rPr>
          <w:rFonts w:hint="eastAsia" w:ascii="仿宋" w:hAnsi="仿宋" w:eastAsia="仿宋" w:cs="仿宋"/>
          <w:sz w:val="32"/>
          <w:szCs w:val="32"/>
        </w:rPr>
        <w:t>项目资金使用情况；</w:t>
      </w:r>
      <w:r>
        <w:rPr>
          <w:rFonts w:hint="eastAsia" w:ascii="仿宋" w:hAnsi="仿宋" w:eastAsia="仿宋" w:cs="仿宋"/>
          <w:kern w:val="0"/>
          <w:sz w:val="32"/>
          <w:szCs w:val="32"/>
          <w:shd w:val="clear" w:color="auto" w:fill="FFFFFF"/>
        </w:rPr>
        <w:t>1</w:t>
      </w:r>
      <w:r>
        <w:rPr>
          <w:rFonts w:hint="eastAsia" w:ascii="仿宋" w:hAnsi="仿宋" w:eastAsia="仿宋" w:cs="仿宋"/>
          <w:bCs/>
          <w:sz w:val="32"/>
          <w:szCs w:val="32"/>
        </w:rPr>
        <w:t>20指挥调度系统运行经费24.21万元（其中年初预算20.42万元，中期调整3.79万元）、</w:t>
      </w:r>
      <w:r>
        <w:rPr>
          <w:rFonts w:hint="eastAsia" w:ascii="仿宋" w:hAnsi="仿宋" w:eastAsia="仿宋" w:cs="仿宋"/>
          <w:bCs/>
          <w:sz w:val="32"/>
          <w:szCs w:val="32"/>
          <w:lang w:val="zh-CN"/>
        </w:rPr>
        <w:t>中医药传承创新市级补助资金</w:t>
      </w:r>
      <w:r>
        <w:rPr>
          <w:rFonts w:hint="eastAsia" w:ascii="仿宋" w:hAnsi="仿宋" w:eastAsia="仿宋" w:cs="仿宋"/>
          <w:bCs/>
          <w:sz w:val="32"/>
          <w:szCs w:val="32"/>
        </w:rPr>
        <w:t>25万元。年终使用资金分别为24.19万元、24.99万元，120指挥调度系统运行资金使用率为99.92%、</w:t>
      </w:r>
      <w:r>
        <w:rPr>
          <w:rFonts w:hint="eastAsia" w:ascii="仿宋" w:hAnsi="仿宋" w:eastAsia="仿宋" w:cs="仿宋"/>
          <w:bCs/>
          <w:sz w:val="32"/>
          <w:szCs w:val="32"/>
          <w:lang w:val="zh-CN"/>
        </w:rPr>
        <w:t>中医药传承创新市级补助资金使用率</w:t>
      </w:r>
      <w:r>
        <w:rPr>
          <w:rFonts w:hint="eastAsia" w:ascii="仿宋" w:hAnsi="仿宋" w:eastAsia="仿宋" w:cs="仿宋"/>
          <w:bCs/>
          <w:sz w:val="32"/>
          <w:szCs w:val="32"/>
        </w:rPr>
        <w:t>99.96%。</w:t>
      </w:r>
      <w:r>
        <w:rPr>
          <w:rFonts w:hint="eastAsia" w:ascii="仿宋" w:hAnsi="仿宋" w:eastAsia="仿宋" w:cs="仿宋"/>
          <w:sz w:val="32"/>
          <w:szCs w:val="32"/>
        </w:rPr>
        <w:t>符合国家财经法规、财务管理制度及有关专项资金管理制度办法规定和审批程序。</w:t>
      </w:r>
    </w:p>
    <w:p>
      <w:pPr>
        <w:numPr>
          <w:ilvl w:val="0"/>
          <w:numId w:val="11"/>
        </w:numPr>
        <w:spacing w:line="590" w:lineRule="exact"/>
        <w:ind w:firstLine="642" w:firstLineChars="200"/>
        <w:rPr>
          <w:rFonts w:ascii="仿宋" w:hAnsi="仿宋" w:eastAsia="仿宋" w:cs="仿宋"/>
          <w:b/>
          <w:sz w:val="32"/>
          <w:szCs w:val="32"/>
          <w:lang w:val="zh-CN"/>
        </w:rPr>
      </w:pPr>
      <w:r>
        <w:rPr>
          <w:rFonts w:hint="eastAsia" w:ascii="仿宋" w:hAnsi="仿宋" w:eastAsia="仿宋" w:cs="仿宋"/>
          <w:b/>
          <w:sz w:val="32"/>
          <w:szCs w:val="32"/>
          <w:lang w:val="zh-CN"/>
        </w:rPr>
        <w:t>评价选点。</w:t>
      </w:r>
    </w:p>
    <w:p>
      <w:pPr>
        <w:spacing w:line="590" w:lineRule="exact"/>
        <w:ind w:firstLine="640" w:firstLineChars="200"/>
        <w:rPr>
          <w:rFonts w:ascii="仿宋" w:hAnsi="仿宋" w:eastAsia="仿宋" w:cs="仿宋"/>
          <w:sz w:val="32"/>
          <w:szCs w:val="32"/>
          <w:lang w:val="zh-CN"/>
        </w:rPr>
      </w:pPr>
      <w:r>
        <w:rPr>
          <w:rFonts w:hint="eastAsia" w:ascii="仿宋" w:hAnsi="仿宋" w:eastAsia="仿宋" w:cs="仿宋"/>
          <w:sz w:val="32"/>
          <w:szCs w:val="32"/>
          <w:lang w:val="zh-CN"/>
        </w:rPr>
        <w:t>项目绩效自评所抽样点位情况。</w:t>
      </w:r>
    </w:p>
    <w:p>
      <w:pPr>
        <w:pStyle w:val="2"/>
        <w:ind w:firstLine="640" w:firstLineChars="200"/>
        <w:rPr>
          <w:rFonts w:ascii="仿宋" w:hAnsi="仿宋" w:eastAsia="仿宋" w:cs="仿宋"/>
          <w:szCs w:val="32"/>
          <w:lang w:val="zh-CN"/>
        </w:rPr>
      </w:pPr>
      <w:r>
        <w:rPr>
          <w:rFonts w:hint="eastAsia" w:ascii="仿宋" w:hAnsi="仿宋" w:eastAsia="仿宋" w:cs="仿宋"/>
          <w:szCs w:val="32"/>
          <w:lang w:val="zh-CN"/>
        </w:rPr>
        <w:t>点位情况为：</w:t>
      </w:r>
      <w:r>
        <w:rPr>
          <w:rFonts w:hint="eastAsia" w:ascii="仿宋" w:hAnsi="仿宋" w:eastAsia="仿宋" w:cs="仿宋"/>
          <w:szCs w:val="32"/>
        </w:rPr>
        <w:t>1.</w:t>
      </w:r>
      <w:r>
        <w:rPr>
          <w:rFonts w:hint="eastAsia" w:ascii="仿宋" w:hAnsi="仿宋" w:eastAsia="仿宋" w:cs="仿宋"/>
          <w:szCs w:val="32"/>
          <w:lang w:val="zh-CN"/>
        </w:rPr>
        <w:t>根据区域均衡性按实际区域分配结果选择客观因素测算验证资金分配的科学合理性、均衡公平。保障120指挥调度平台正常运行，做到了及时应答，维护社会秩序，高效应对突发事件的发生。同时完成中医药在卫生健康统筹中的多元化发展。进一步提高院前急救医疗服务质量。</w:t>
      </w:r>
    </w:p>
    <w:p>
      <w:pPr>
        <w:rPr>
          <w:rFonts w:ascii="仿宋" w:hAnsi="仿宋" w:eastAsia="仿宋" w:cs="仿宋"/>
          <w:sz w:val="32"/>
          <w:szCs w:val="32"/>
        </w:rPr>
      </w:pPr>
      <w:r>
        <w:rPr>
          <w:rFonts w:hint="eastAsia" w:ascii="仿宋" w:hAnsi="仿宋" w:eastAsia="仿宋" w:cs="仿宋"/>
          <w:sz w:val="32"/>
          <w:szCs w:val="32"/>
        </w:rPr>
        <w:t xml:space="preserve">    2.把控资金对象精准性；运行经费预算金额为24.24万元，资金使用为24.19万元，使用率为99.92%。</w:t>
      </w:r>
      <w:r>
        <w:rPr>
          <w:rFonts w:hint="eastAsia" w:ascii="仿宋" w:hAnsi="仿宋" w:eastAsia="仿宋" w:cs="仿宋"/>
          <w:sz w:val="32"/>
          <w:szCs w:val="32"/>
          <w:lang w:val="zh-CN"/>
        </w:rPr>
        <w:t>中医药传承创新市级补助资金</w:t>
      </w:r>
      <w:r>
        <w:rPr>
          <w:rFonts w:hint="eastAsia" w:ascii="仿宋" w:hAnsi="仿宋" w:eastAsia="仿宋" w:cs="仿宋"/>
          <w:sz w:val="32"/>
          <w:szCs w:val="32"/>
        </w:rPr>
        <w:t>25万元，资金使用为24.99万元，使用率为99.96%。</w:t>
      </w:r>
    </w:p>
    <w:p>
      <w:pPr>
        <w:pStyle w:val="2"/>
        <w:ind w:firstLine="640" w:firstLineChars="200"/>
        <w:rPr>
          <w:rFonts w:ascii="仿宋" w:hAnsi="仿宋" w:eastAsia="仿宋" w:cs="仿宋"/>
          <w:szCs w:val="32"/>
        </w:rPr>
      </w:pPr>
      <w:r>
        <w:rPr>
          <w:rFonts w:hint="eastAsia" w:ascii="仿宋" w:hAnsi="仿宋" w:eastAsia="仿宋" w:cs="仿宋"/>
          <w:szCs w:val="32"/>
        </w:rPr>
        <w:t>3.标准合理性；我中心为</w:t>
      </w:r>
      <w:r>
        <w:rPr>
          <w:rFonts w:hint="eastAsia" w:ascii="仿宋" w:hAnsi="仿宋" w:eastAsia="仿宋" w:cs="仿宋"/>
          <w:szCs w:val="32"/>
          <w:lang w:val="zh-CN"/>
        </w:rPr>
        <w:t>保障120指挥调度平台正常运行，</w:t>
      </w:r>
      <w:r>
        <w:rPr>
          <w:rFonts w:hint="eastAsia" w:ascii="仿宋" w:hAnsi="仿宋" w:eastAsia="仿宋" w:cs="仿宋"/>
          <w:szCs w:val="32"/>
        </w:rPr>
        <w:t>2024年专项资金具体使用情况为电信业务使用费16.12万元、短信业务使用费0.5万元、调度使用IP电话6台0.47万元、</w:t>
      </w:r>
      <w:r>
        <w:rPr>
          <w:rFonts w:hint="eastAsia" w:ascii="仿宋" w:hAnsi="仿宋" w:eastAsia="仿宋" w:cs="仿宋"/>
          <w:szCs w:val="32"/>
          <w:lang w:val="zh-CN"/>
        </w:rPr>
        <w:t>120指挥调度平</w:t>
      </w:r>
      <w:r>
        <w:rPr>
          <w:rFonts w:hint="eastAsia" w:ascii="仿宋" w:hAnsi="仿宋" w:eastAsia="仿宋" w:cs="仿宋"/>
          <w:szCs w:val="32"/>
        </w:rPr>
        <w:t>台购买服务费24万元、院前急救能力培训费0.99万元。</w:t>
      </w:r>
    </w:p>
    <w:p>
      <w:pPr>
        <w:rPr>
          <w:rFonts w:ascii="仿宋" w:hAnsi="仿宋" w:eastAsia="仿宋" w:cs="仿宋"/>
          <w:sz w:val="32"/>
          <w:szCs w:val="32"/>
        </w:rPr>
      </w:pPr>
      <w:r>
        <w:rPr>
          <w:rFonts w:hint="eastAsia" w:ascii="仿宋" w:hAnsi="仿宋" w:eastAsia="仿宋" w:cs="仿宋"/>
          <w:sz w:val="32"/>
          <w:szCs w:val="32"/>
        </w:rPr>
        <w:t xml:space="preserve">    4.群众满意度；2024年市紧急医疗救援中心共受理“120”报警电话180930次，急救派车42461次，救治伤病员 35216人</w:t>
      </w:r>
      <w:r>
        <w:rPr>
          <w:rFonts w:hint="eastAsia" w:ascii="仿宋" w:hAnsi="仿宋" w:eastAsia="仿宋" w:cs="仿宋"/>
          <w:sz w:val="32"/>
          <w:szCs w:val="32"/>
          <w:lang w:eastAsia="zh-CN"/>
        </w:rPr>
        <w:t>，</w:t>
      </w:r>
      <w:r>
        <w:rPr>
          <w:rFonts w:hint="eastAsia" w:ascii="仿宋" w:hAnsi="仿宋" w:eastAsia="仿宋" w:cs="仿宋"/>
          <w:sz w:val="32"/>
          <w:szCs w:val="32"/>
        </w:rPr>
        <w:t>处置突发事件1405次，群众满意度96%。2024年调度员10秒平均摘机时长4秒，10秒接听率100%，平均受理时长1分53秒，平均调派时长27秒，呼叫满足率100%。</w:t>
      </w:r>
    </w:p>
    <w:p>
      <w:pPr>
        <w:rPr>
          <w:rFonts w:ascii="仿宋" w:hAnsi="仿宋" w:eastAsia="仿宋" w:cs="仿宋"/>
          <w:b/>
          <w:sz w:val="32"/>
          <w:szCs w:val="32"/>
          <w:lang w:val="zh-CN"/>
        </w:rPr>
      </w:pPr>
      <w:r>
        <w:rPr>
          <w:rFonts w:hint="eastAsia" w:ascii="仿宋" w:hAnsi="仿宋" w:eastAsia="仿宋" w:cs="仿宋"/>
          <w:sz w:val="32"/>
          <w:szCs w:val="32"/>
        </w:rPr>
        <w:t xml:space="preserve">   </w:t>
      </w:r>
      <w:r>
        <w:rPr>
          <w:rFonts w:hint="eastAsia" w:ascii="仿宋" w:hAnsi="仿宋" w:eastAsia="仿宋" w:cs="仿宋"/>
          <w:b/>
          <w:sz w:val="32"/>
          <w:szCs w:val="32"/>
          <w:lang w:val="zh-CN"/>
        </w:rPr>
        <w:t>（四）评价方法。</w:t>
      </w:r>
    </w:p>
    <w:p>
      <w:pPr>
        <w:ind w:firstLine="640" w:firstLineChars="200"/>
        <w:rPr>
          <w:rFonts w:ascii="仿宋" w:hAnsi="仿宋" w:eastAsia="仿宋" w:cs="仿宋"/>
          <w:sz w:val="32"/>
          <w:szCs w:val="32"/>
          <w:highlight w:val="green"/>
        </w:rPr>
      </w:pPr>
      <w:r>
        <w:rPr>
          <w:rFonts w:hint="eastAsia" w:ascii="仿宋" w:hAnsi="仿宋" w:eastAsia="仿宋" w:cs="仿宋"/>
          <w:sz w:val="32"/>
          <w:szCs w:val="32"/>
        </w:rPr>
        <w:t>我中心收集各项预算执行具体情况资料，掌握项目立项决策、项目资金、项目实施管理、财务管理全过程；收集项目完成情况与年初绩效目标开展对比分析；并通过发放满意度问卷，对项目受益对象开展满意度问卷调查。对项目绩效差异通过因素分析法，分析内、外部因素，并提出改进措施及建议。</w:t>
      </w:r>
    </w:p>
    <w:p>
      <w:pPr>
        <w:numPr>
          <w:ilvl w:val="0"/>
          <w:numId w:val="11"/>
        </w:numPr>
        <w:spacing w:line="590" w:lineRule="exact"/>
        <w:ind w:firstLine="642" w:firstLineChars="200"/>
        <w:rPr>
          <w:rFonts w:ascii="仿宋" w:hAnsi="仿宋" w:eastAsia="仿宋" w:cs="仿宋"/>
          <w:b/>
          <w:sz w:val="32"/>
          <w:szCs w:val="32"/>
          <w:lang w:val="zh-CN"/>
        </w:rPr>
      </w:pPr>
      <w:r>
        <w:rPr>
          <w:rFonts w:hint="eastAsia" w:ascii="仿宋" w:hAnsi="仿宋" w:eastAsia="仿宋" w:cs="仿宋"/>
          <w:b/>
          <w:sz w:val="32"/>
          <w:szCs w:val="32"/>
          <w:lang w:val="zh-CN"/>
        </w:rPr>
        <w:t>评价组织。</w:t>
      </w:r>
    </w:p>
    <w:p>
      <w:pPr>
        <w:pStyle w:val="2"/>
        <w:ind w:firstLine="640" w:firstLineChars="200"/>
        <w:rPr>
          <w:rFonts w:ascii="仿宋" w:hAnsi="仿宋" w:eastAsia="仿宋" w:cs="仿宋"/>
          <w:szCs w:val="32"/>
          <w:lang w:val="zh-CN"/>
        </w:rPr>
      </w:pPr>
      <w:r>
        <w:rPr>
          <w:rFonts w:hint="eastAsia" w:ascii="仿宋" w:hAnsi="仿宋" w:eastAsia="仿宋" w:cs="仿宋"/>
          <w:szCs w:val="32"/>
          <w:lang w:val="zh-CN"/>
        </w:rPr>
        <w:t>我单位自评工作步骤：由朱主任组织领导，成立绩效自评价工作小组，副主任黎特任组长，财务科室牵头实施单位自评价，各业务科室具体负责自评。</w:t>
      </w:r>
    </w:p>
    <w:p>
      <w:pPr>
        <w:spacing w:line="590" w:lineRule="exact"/>
        <w:ind w:firstLine="642" w:firstLineChars="200"/>
        <w:rPr>
          <w:rFonts w:ascii="仿宋" w:hAnsi="仿宋" w:eastAsia="仿宋" w:cs="仿宋"/>
          <w:b/>
          <w:bCs/>
          <w:sz w:val="32"/>
          <w:szCs w:val="32"/>
          <w:lang w:val="zh-CN"/>
        </w:rPr>
      </w:pPr>
      <w:r>
        <w:rPr>
          <w:rFonts w:hint="eastAsia" w:ascii="仿宋" w:hAnsi="仿宋" w:eastAsia="仿宋" w:cs="仿宋"/>
          <w:b/>
          <w:bCs/>
          <w:sz w:val="32"/>
          <w:szCs w:val="32"/>
        </w:rPr>
        <w:t>三、绩效分析</w:t>
      </w:r>
      <w:r>
        <w:rPr>
          <w:rFonts w:hint="eastAsia" w:ascii="仿宋" w:hAnsi="仿宋" w:eastAsia="仿宋" w:cs="仿宋"/>
          <w:b/>
          <w:bCs/>
          <w:sz w:val="32"/>
          <w:szCs w:val="32"/>
          <w:lang w:val="zh-CN"/>
        </w:rPr>
        <w:tab/>
      </w:r>
    </w:p>
    <w:p>
      <w:pPr>
        <w:spacing w:line="590" w:lineRule="exact"/>
        <w:ind w:firstLine="640"/>
        <w:rPr>
          <w:rFonts w:ascii="仿宋" w:hAnsi="仿宋" w:eastAsia="仿宋" w:cs="仿宋"/>
          <w:sz w:val="32"/>
          <w:szCs w:val="32"/>
        </w:rPr>
      </w:pPr>
      <w:r>
        <w:rPr>
          <w:rFonts w:hint="eastAsia" w:ascii="仿宋" w:hAnsi="仿宋" w:eastAsia="仿宋" w:cs="仿宋"/>
          <w:sz w:val="32"/>
          <w:szCs w:val="32"/>
          <w:lang w:val="zh-CN"/>
        </w:rPr>
        <w:t>根据项目预算绩效评价指标体系“通用指标”“专用指标”“个性指标”涉及二、三级指标进行逐项绩效分析并评分</w:t>
      </w:r>
      <w:r>
        <w:rPr>
          <w:rFonts w:hint="eastAsia" w:ascii="仿宋" w:hAnsi="仿宋" w:eastAsia="仿宋" w:cs="仿宋"/>
          <w:sz w:val="32"/>
          <w:szCs w:val="32"/>
        </w:rPr>
        <w:t>。</w:t>
      </w:r>
    </w:p>
    <w:p>
      <w:pPr>
        <w:spacing w:line="590" w:lineRule="exact"/>
        <w:ind w:firstLine="640"/>
        <w:rPr>
          <w:rFonts w:ascii="仿宋" w:hAnsi="仿宋" w:eastAsia="仿宋" w:cs="仿宋"/>
          <w:b/>
          <w:sz w:val="32"/>
          <w:szCs w:val="32"/>
        </w:rPr>
      </w:pPr>
      <w:r>
        <w:rPr>
          <w:rFonts w:hint="eastAsia" w:ascii="仿宋" w:hAnsi="仿宋" w:eastAsia="仿宋" w:cs="仿宋"/>
          <w:b/>
          <w:sz w:val="32"/>
          <w:szCs w:val="32"/>
          <w:lang w:val="zh-CN"/>
        </w:rPr>
        <w:t>（一）</w:t>
      </w:r>
      <w:r>
        <w:rPr>
          <w:rFonts w:hint="eastAsia" w:ascii="仿宋" w:hAnsi="仿宋" w:eastAsia="仿宋" w:cs="仿宋"/>
          <w:b/>
          <w:sz w:val="32"/>
          <w:szCs w:val="32"/>
        </w:rPr>
        <w:t>通用指标</w:t>
      </w:r>
      <w:r>
        <w:rPr>
          <w:rFonts w:hint="eastAsia" w:ascii="仿宋" w:hAnsi="仿宋" w:eastAsia="仿宋" w:cs="仿宋"/>
          <w:b/>
          <w:bCs/>
          <w:color w:val="000000"/>
          <w:kern w:val="0"/>
          <w:sz w:val="32"/>
          <w:szCs w:val="32"/>
          <w:shd w:val="clear" w:color="auto" w:fill="FFFFFF"/>
          <w:lang w:val="zh-CN"/>
        </w:rPr>
        <w:t>绩效分析。</w:t>
      </w:r>
    </w:p>
    <w:p>
      <w:pPr>
        <w:spacing w:line="590" w:lineRule="exact"/>
        <w:ind w:firstLine="640"/>
        <w:rPr>
          <w:rFonts w:hint="eastAsia" w:ascii="仿宋" w:hAnsi="仿宋" w:eastAsia="仿宋" w:cs="仿宋"/>
          <w:sz w:val="32"/>
          <w:szCs w:val="32"/>
          <w:lang w:eastAsia="zh-CN"/>
        </w:rPr>
      </w:pPr>
      <w:r>
        <w:rPr>
          <w:rFonts w:hint="eastAsia" w:ascii="仿宋" w:hAnsi="仿宋" w:eastAsia="仿宋" w:cs="仿宋"/>
          <w:sz w:val="32"/>
          <w:szCs w:val="32"/>
        </w:rPr>
        <w:t>根据《2025年度市级预算绩效目标管理和事前绩效评估工作的通知》，对“年度预算100万元以上的新增项目，年度预算增幅达到30%或增加金额100万元以上的延续性专项资金项目”开展事前绩效评估。2024年本单位应开展部门预算阶段项目（含一次性项目）总数2个、实际开展部门预算阶段项目（含一次性项目）2个，开展比例100%。具体如下</w:t>
      </w:r>
      <w:r>
        <w:rPr>
          <w:rFonts w:hint="eastAsia" w:ascii="仿宋" w:hAnsi="仿宋" w:eastAsia="仿宋" w:cs="仿宋"/>
          <w:sz w:val="32"/>
          <w:szCs w:val="32"/>
          <w:lang w:eastAsia="zh-CN"/>
        </w:rPr>
        <w:t>。</w:t>
      </w:r>
    </w:p>
    <w:p>
      <w:pPr>
        <w:numPr>
          <w:ilvl w:val="0"/>
          <w:numId w:val="12"/>
        </w:numPr>
        <w:spacing w:line="590" w:lineRule="exact"/>
        <w:ind w:firstLine="640"/>
        <w:rPr>
          <w:rFonts w:ascii="仿宋" w:hAnsi="仿宋" w:eastAsia="仿宋" w:cs="仿宋"/>
          <w:bCs/>
          <w:sz w:val="32"/>
          <w:szCs w:val="32"/>
          <w:lang w:val="zh-CN"/>
        </w:rPr>
      </w:pPr>
      <w:r>
        <w:rPr>
          <w:rFonts w:hint="eastAsia" w:ascii="仿宋" w:hAnsi="仿宋" w:eastAsia="仿宋" w:cs="仿宋"/>
          <w:sz w:val="32"/>
          <w:szCs w:val="32"/>
        </w:rPr>
        <w:t>项目决策。根据《遂宁市财政局关于开展2025年部门</w:t>
      </w:r>
      <w:r>
        <w:rPr>
          <w:rFonts w:hint="eastAsia" w:ascii="仿宋" w:hAnsi="仿宋" w:eastAsia="仿宋" w:cs="仿宋"/>
          <w:sz w:val="32"/>
          <w:szCs w:val="32"/>
          <w:highlight w:val="none"/>
        </w:rPr>
        <w:t>、</w:t>
      </w:r>
      <w:r>
        <w:rPr>
          <w:rFonts w:hint="eastAsia" w:ascii="仿宋" w:hAnsi="仿宋" w:eastAsia="仿宋" w:cs="仿宋"/>
          <w:sz w:val="32"/>
          <w:szCs w:val="32"/>
        </w:rPr>
        <w:t>项目</w:t>
      </w:r>
      <w:r>
        <w:rPr>
          <w:rFonts w:hint="eastAsia" w:ascii="仿宋" w:hAnsi="仿宋" w:eastAsia="仿宋" w:cs="仿宋"/>
          <w:sz w:val="32"/>
          <w:szCs w:val="32"/>
          <w:highlight w:val="none"/>
        </w:rPr>
        <w:t>、</w:t>
      </w:r>
      <w:r>
        <w:rPr>
          <w:rFonts w:hint="eastAsia" w:ascii="仿宋" w:hAnsi="仿宋" w:eastAsia="仿宋" w:cs="仿宋"/>
          <w:sz w:val="32"/>
          <w:szCs w:val="32"/>
        </w:rPr>
        <w:t>政策支出绩效自评工作的通知》（遂财绩〔2025〕1号）文件要求以及本单位项目绩效目标及预算审核结果。2024年本单位财务机构抽查预算阶段项目（含一次性项目）2个项目，涉及绩效目标与计划期内的任务量、预算安排不相匹配的部门预算阶段项目（含一次性项目）数量0个。不存在绩效目标与计划期内的任务量、预算安排不相匹配的部门预算阶段项目（含一次性项目）的项目。根据《部门整体支出绩效自评打分表》对项目设立、调整延续等方面符合资金管理基本规范和决策程序要求。项目规划论证符合市级要求。</w:t>
      </w:r>
    </w:p>
    <w:p>
      <w:pPr>
        <w:numPr>
          <w:ilvl w:val="0"/>
          <w:numId w:val="12"/>
        </w:numPr>
        <w:spacing w:line="590" w:lineRule="exact"/>
        <w:ind w:firstLine="640"/>
        <w:rPr>
          <w:rFonts w:ascii="仿宋" w:hAnsi="仿宋" w:eastAsia="仿宋" w:cs="仿宋"/>
          <w:bCs/>
          <w:sz w:val="32"/>
          <w:szCs w:val="32"/>
          <w:lang w:val="zh-CN"/>
        </w:rPr>
      </w:pPr>
      <w:r>
        <w:rPr>
          <w:rFonts w:hint="eastAsia" w:ascii="仿宋" w:hAnsi="仿宋" w:eastAsia="仿宋" w:cs="仿宋"/>
          <w:sz w:val="32"/>
          <w:szCs w:val="32"/>
        </w:rPr>
        <w:t>项目管理。</w:t>
      </w:r>
    </w:p>
    <w:p>
      <w:pPr>
        <w:spacing w:line="590" w:lineRule="exact"/>
        <w:ind w:firstLine="640" w:firstLineChars="200"/>
        <w:rPr>
          <w:rFonts w:ascii="仿宋" w:hAnsi="仿宋" w:eastAsia="仿宋" w:cs="仿宋"/>
          <w:sz w:val="32"/>
          <w:szCs w:val="32"/>
        </w:rPr>
      </w:pPr>
      <w:r>
        <w:rPr>
          <w:rFonts w:hint="eastAsia" w:ascii="仿宋" w:hAnsi="仿宋" w:eastAsia="仿宋" w:cs="仿宋"/>
          <w:sz w:val="32"/>
          <w:szCs w:val="32"/>
        </w:rPr>
        <w:t>制度办法：遂宁市紧急医疗救援中心根据国家和省有关法律法规和规章制度及市卫生健康委员会专项资金使用相关规定完全用于2024年</w:t>
      </w:r>
      <w:r>
        <w:rPr>
          <w:rFonts w:hint="eastAsia" w:ascii="仿宋" w:hAnsi="仿宋" w:eastAsia="仿宋" w:cs="仿宋"/>
          <w:sz w:val="32"/>
          <w:szCs w:val="32"/>
          <w:lang w:val="zh-CN"/>
        </w:rPr>
        <w:t>120指挥调度运行及</w:t>
      </w:r>
      <w:r>
        <w:rPr>
          <w:rFonts w:hint="eastAsia" w:ascii="仿宋" w:hAnsi="仿宋" w:eastAsia="仿宋" w:cs="仿宋"/>
          <w:bCs/>
          <w:sz w:val="32"/>
          <w:szCs w:val="32"/>
          <w:lang w:val="zh-CN"/>
        </w:rPr>
        <w:t>中医院前急救能力提升工作。</w:t>
      </w:r>
      <w:r>
        <w:rPr>
          <w:rFonts w:hint="eastAsia" w:ascii="仿宋" w:hAnsi="仿宋" w:eastAsia="仿宋" w:cs="仿宋"/>
          <w:sz w:val="32"/>
          <w:szCs w:val="32"/>
        </w:rPr>
        <w:t>资金管理办法等管理制度体系健全完善，不存在管理制度缺失、管理办法过期情况。</w:t>
      </w:r>
    </w:p>
    <w:p>
      <w:pPr>
        <w:spacing w:line="590" w:lineRule="exact"/>
        <w:ind w:firstLine="640" w:firstLineChars="200"/>
        <w:rPr>
          <w:rFonts w:ascii="仿宋" w:hAnsi="仿宋" w:eastAsia="仿宋" w:cs="仿宋"/>
          <w:sz w:val="32"/>
          <w:szCs w:val="32"/>
        </w:rPr>
      </w:pPr>
      <w:r>
        <w:rPr>
          <w:rFonts w:hint="eastAsia" w:ascii="仿宋" w:hAnsi="仿宋" w:eastAsia="仿宋" w:cs="仿宋"/>
          <w:sz w:val="32"/>
          <w:szCs w:val="32"/>
        </w:rPr>
        <w:t>分配管理：采用因素分配法：资金区域分布结果公平合理。资金分配严格按管理办法执行，决策程序是否符合管理要求，及时高效，未充分考虑相关行业事业发展实际和发展需求，存在中期调整3.79万元资金缺口。权重设置不够完全有效突出项目实施重点；产出指标权重过大，无法完全体现紧急救援的社会效益性质。</w:t>
      </w:r>
    </w:p>
    <w:p>
      <w:pPr>
        <w:spacing w:line="590" w:lineRule="exact"/>
        <w:ind w:firstLine="640" w:firstLineChars="200"/>
        <w:rPr>
          <w:rFonts w:ascii="仿宋" w:hAnsi="仿宋" w:eastAsia="仿宋" w:cs="仿宋"/>
          <w:sz w:val="32"/>
          <w:szCs w:val="32"/>
        </w:rPr>
      </w:pPr>
      <w:r>
        <w:rPr>
          <w:rFonts w:hint="eastAsia" w:ascii="仿宋" w:hAnsi="仿宋" w:eastAsia="仿宋" w:cs="仿宋"/>
          <w:sz w:val="32"/>
          <w:szCs w:val="32"/>
        </w:rPr>
        <w:t>绩效监管：项目按财政及上级主管部门遂宁市卫生健康委员会相关要求及规定结合单位职能职责，加强项目管理所采取的有效监管手段、监管程序、监管工作，确保专款专用、合规合法。</w:t>
      </w:r>
    </w:p>
    <w:p>
      <w:pPr>
        <w:pStyle w:val="4"/>
        <w:numPr>
          <w:ilvl w:val="0"/>
          <w:numId w:val="12"/>
        </w:numPr>
        <w:ind w:firstLine="640"/>
        <w:rPr>
          <w:b/>
          <w:bCs/>
        </w:rPr>
      </w:pPr>
      <w:r>
        <w:rPr>
          <w:rFonts w:hint="eastAsia" w:ascii="仿宋" w:hAnsi="仿宋" w:eastAsia="仿宋" w:cs="仿宋"/>
        </w:rPr>
        <w:t>项目实施。</w:t>
      </w:r>
      <w:r>
        <w:rPr>
          <w:rFonts w:hint="eastAsia" w:ascii="仿宋" w:hAnsi="仿宋" w:eastAsia="仿宋" w:cs="仿宋"/>
          <w:b w:val="0"/>
          <w:bCs w:val="0"/>
        </w:rPr>
        <w:t>预算执行情况及资金使用情况：120指挥调度系统运行经费24.21万元（其中年初预算20.42万元，中期调整3.79万元）、</w:t>
      </w:r>
      <w:r>
        <w:rPr>
          <w:rFonts w:hint="eastAsia" w:ascii="仿宋" w:hAnsi="仿宋" w:eastAsia="仿宋" w:cs="仿宋"/>
          <w:b w:val="0"/>
          <w:bCs w:val="0"/>
          <w:lang w:val="zh-CN"/>
        </w:rPr>
        <w:t>中医药传承创新市级补助资金</w:t>
      </w:r>
      <w:r>
        <w:rPr>
          <w:rFonts w:hint="eastAsia" w:ascii="仿宋" w:hAnsi="仿宋" w:eastAsia="仿宋" w:cs="仿宋"/>
          <w:b w:val="0"/>
          <w:bCs w:val="0"/>
        </w:rPr>
        <w:t>25万元。年终使用资金分别为24.19万元、24.99万元，120指挥调度系统运行资金使用率为99.92%、</w:t>
      </w:r>
      <w:r>
        <w:rPr>
          <w:rFonts w:hint="eastAsia" w:ascii="仿宋" w:hAnsi="仿宋" w:eastAsia="仿宋" w:cs="仿宋"/>
          <w:b w:val="0"/>
          <w:bCs w:val="0"/>
          <w:lang w:val="zh-CN"/>
        </w:rPr>
        <w:t>中医药传承创新市级补助资金使用率</w:t>
      </w:r>
      <w:r>
        <w:rPr>
          <w:rFonts w:hint="eastAsia" w:ascii="仿宋" w:hAnsi="仿宋" w:eastAsia="仿宋" w:cs="仿宋"/>
          <w:b w:val="0"/>
          <w:bCs w:val="0"/>
        </w:rPr>
        <w:t>99.96%。</w:t>
      </w:r>
    </w:p>
    <w:p>
      <w:pPr>
        <w:pStyle w:val="4"/>
        <w:numPr>
          <w:numId w:val="0"/>
        </w:numPr>
        <w:ind w:firstLine="642" w:firstLineChars="200"/>
        <w:rPr>
          <w:b/>
          <w:bCs/>
        </w:rPr>
      </w:pPr>
      <w:r>
        <w:rPr>
          <w:rFonts w:hint="eastAsia" w:ascii="仿宋" w:hAnsi="仿宋" w:eastAsia="仿宋" w:cs="仿宋"/>
          <w:b/>
          <w:bCs/>
          <w:sz w:val="32"/>
          <w:szCs w:val="32"/>
        </w:rPr>
        <w:t>4.项目结果。</w:t>
      </w:r>
    </w:p>
    <w:tbl>
      <w:tblPr>
        <w:tblStyle w:val="18"/>
        <w:tblpPr w:leftFromText="180" w:rightFromText="180" w:vertAnchor="text" w:horzAnchor="page" w:tblpX="1830" w:tblpY="86"/>
        <w:tblOverlap w:val="never"/>
        <w:tblW w:w="95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7"/>
        <w:gridCol w:w="2735"/>
        <w:gridCol w:w="582"/>
        <w:gridCol w:w="781"/>
        <w:gridCol w:w="803"/>
        <w:gridCol w:w="1061"/>
        <w:gridCol w:w="22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387" w:type="dxa"/>
            <w:vAlign w:val="center"/>
          </w:tcPr>
          <w:p>
            <w:pPr>
              <w:keepNext/>
              <w:keepLines/>
              <w:pageBreakBefore w:val="0"/>
              <w:widowControl w:val="0"/>
              <w:kinsoku/>
              <w:wordWrap/>
              <w:overflowPunct/>
              <w:topLinePunct w:val="0"/>
              <w:autoSpaceDE/>
              <w:autoSpaceDN/>
              <w:bidi w:val="0"/>
              <w:adjustRightInd w:val="0"/>
              <w:snapToGrid w:val="0"/>
              <w:spacing w:line="360" w:lineRule="auto"/>
              <w:jc w:val="center"/>
              <w:textAlignment w:val="auto"/>
              <w:rPr>
                <w:sz w:val="22"/>
                <w:szCs w:val="20"/>
                <w:lang w:val="zh-CN"/>
              </w:rPr>
            </w:pPr>
            <w:r>
              <w:rPr>
                <w:rFonts w:hint="eastAsia"/>
                <w:sz w:val="22"/>
                <w:szCs w:val="20"/>
                <w:lang w:val="zh-CN"/>
              </w:rPr>
              <w:t>项目</w:t>
            </w:r>
          </w:p>
        </w:tc>
        <w:tc>
          <w:tcPr>
            <w:tcW w:w="2735" w:type="dxa"/>
            <w:vAlign w:val="center"/>
          </w:tcPr>
          <w:p>
            <w:pPr>
              <w:keepNext/>
              <w:keepLines/>
              <w:pageBreakBefore w:val="0"/>
              <w:widowControl w:val="0"/>
              <w:kinsoku/>
              <w:wordWrap/>
              <w:overflowPunct/>
              <w:topLinePunct w:val="0"/>
              <w:autoSpaceDE/>
              <w:autoSpaceDN/>
              <w:bidi w:val="0"/>
              <w:adjustRightInd w:val="0"/>
              <w:snapToGrid w:val="0"/>
              <w:spacing w:line="360" w:lineRule="auto"/>
              <w:jc w:val="center"/>
              <w:textAlignment w:val="auto"/>
              <w:rPr>
                <w:sz w:val="22"/>
                <w:szCs w:val="20"/>
                <w:lang w:val="zh-CN"/>
              </w:rPr>
            </w:pPr>
            <w:r>
              <w:rPr>
                <w:rFonts w:hint="eastAsia"/>
                <w:sz w:val="22"/>
                <w:szCs w:val="20"/>
                <w:lang w:val="zh-CN"/>
              </w:rPr>
              <w:t>绩效目标</w:t>
            </w:r>
          </w:p>
        </w:tc>
        <w:tc>
          <w:tcPr>
            <w:tcW w:w="582" w:type="dxa"/>
            <w:vAlign w:val="center"/>
          </w:tcPr>
          <w:p>
            <w:pPr>
              <w:keepNext/>
              <w:keepLines/>
              <w:pageBreakBefore w:val="0"/>
              <w:widowControl w:val="0"/>
              <w:kinsoku/>
              <w:wordWrap/>
              <w:overflowPunct/>
              <w:topLinePunct w:val="0"/>
              <w:autoSpaceDE/>
              <w:autoSpaceDN/>
              <w:bidi w:val="0"/>
              <w:adjustRightInd w:val="0"/>
              <w:snapToGrid w:val="0"/>
              <w:spacing w:line="360" w:lineRule="auto"/>
              <w:jc w:val="center"/>
              <w:textAlignment w:val="auto"/>
              <w:rPr>
                <w:sz w:val="22"/>
                <w:szCs w:val="20"/>
                <w:lang w:val="zh-CN"/>
              </w:rPr>
            </w:pPr>
            <w:r>
              <w:rPr>
                <w:rFonts w:hint="eastAsia"/>
                <w:sz w:val="22"/>
                <w:szCs w:val="20"/>
                <w:lang w:val="zh-CN"/>
              </w:rPr>
              <w:t>数量指标</w:t>
            </w:r>
          </w:p>
        </w:tc>
        <w:tc>
          <w:tcPr>
            <w:tcW w:w="781" w:type="dxa"/>
            <w:vAlign w:val="center"/>
          </w:tcPr>
          <w:p>
            <w:pPr>
              <w:keepNext/>
              <w:keepLines/>
              <w:pageBreakBefore w:val="0"/>
              <w:widowControl w:val="0"/>
              <w:kinsoku/>
              <w:wordWrap/>
              <w:overflowPunct/>
              <w:topLinePunct w:val="0"/>
              <w:autoSpaceDE/>
              <w:autoSpaceDN/>
              <w:bidi w:val="0"/>
              <w:adjustRightInd w:val="0"/>
              <w:snapToGrid w:val="0"/>
              <w:spacing w:line="360" w:lineRule="auto"/>
              <w:jc w:val="center"/>
              <w:textAlignment w:val="auto"/>
              <w:rPr>
                <w:sz w:val="22"/>
                <w:szCs w:val="20"/>
                <w:lang w:val="zh-CN"/>
              </w:rPr>
            </w:pPr>
            <w:r>
              <w:rPr>
                <w:rFonts w:hint="eastAsia"/>
                <w:sz w:val="22"/>
                <w:szCs w:val="20"/>
                <w:lang w:val="zh-CN"/>
              </w:rPr>
              <w:t>目标值</w:t>
            </w:r>
          </w:p>
        </w:tc>
        <w:tc>
          <w:tcPr>
            <w:tcW w:w="803" w:type="dxa"/>
            <w:vAlign w:val="center"/>
          </w:tcPr>
          <w:p>
            <w:pPr>
              <w:keepNext/>
              <w:keepLines/>
              <w:pageBreakBefore w:val="0"/>
              <w:widowControl w:val="0"/>
              <w:kinsoku/>
              <w:wordWrap/>
              <w:overflowPunct/>
              <w:topLinePunct w:val="0"/>
              <w:autoSpaceDE/>
              <w:autoSpaceDN/>
              <w:bidi w:val="0"/>
              <w:adjustRightInd w:val="0"/>
              <w:snapToGrid w:val="0"/>
              <w:spacing w:line="360" w:lineRule="auto"/>
              <w:jc w:val="center"/>
              <w:textAlignment w:val="auto"/>
              <w:rPr>
                <w:sz w:val="22"/>
                <w:szCs w:val="20"/>
                <w:lang w:val="zh-CN"/>
              </w:rPr>
            </w:pPr>
            <w:r>
              <w:rPr>
                <w:rFonts w:hint="eastAsia"/>
                <w:sz w:val="22"/>
                <w:szCs w:val="20"/>
                <w:lang w:val="zh-CN"/>
              </w:rPr>
              <w:t>完成值</w:t>
            </w:r>
          </w:p>
        </w:tc>
        <w:tc>
          <w:tcPr>
            <w:tcW w:w="1061" w:type="dxa"/>
            <w:vAlign w:val="center"/>
          </w:tcPr>
          <w:p>
            <w:pPr>
              <w:keepNext/>
              <w:keepLines/>
              <w:pageBreakBefore w:val="0"/>
              <w:widowControl w:val="0"/>
              <w:kinsoku/>
              <w:wordWrap/>
              <w:overflowPunct/>
              <w:topLinePunct w:val="0"/>
              <w:autoSpaceDE/>
              <w:autoSpaceDN/>
              <w:bidi w:val="0"/>
              <w:adjustRightInd w:val="0"/>
              <w:snapToGrid w:val="0"/>
              <w:spacing w:line="360" w:lineRule="auto"/>
              <w:jc w:val="center"/>
              <w:textAlignment w:val="auto"/>
              <w:rPr>
                <w:sz w:val="22"/>
                <w:szCs w:val="20"/>
                <w:lang w:val="zh-CN"/>
              </w:rPr>
            </w:pPr>
            <w:r>
              <w:rPr>
                <w:rFonts w:hint="eastAsia"/>
                <w:sz w:val="22"/>
                <w:szCs w:val="20"/>
                <w:lang w:val="zh-CN"/>
              </w:rPr>
              <w:t>完成率</w:t>
            </w:r>
          </w:p>
        </w:tc>
        <w:tc>
          <w:tcPr>
            <w:tcW w:w="2248" w:type="dxa"/>
            <w:vAlign w:val="center"/>
          </w:tcPr>
          <w:p>
            <w:pPr>
              <w:keepNext/>
              <w:keepLines/>
              <w:pageBreakBefore w:val="0"/>
              <w:widowControl w:val="0"/>
              <w:kinsoku/>
              <w:wordWrap/>
              <w:overflowPunct/>
              <w:topLinePunct w:val="0"/>
              <w:autoSpaceDE/>
              <w:autoSpaceDN/>
              <w:bidi w:val="0"/>
              <w:adjustRightInd w:val="0"/>
              <w:snapToGrid w:val="0"/>
              <w:spacing w:line="360" w:lineRule="auto"/>
              <w:jc w:val="center"/>
              <w:textAlignment w:val="auto"/>
              <w:rPr>
                <w:sz w:val="22"/>
                <w:szCs w:val="20"/>
                <w:lang w:val="zh-CN"/>
              </w:rPr>
            </w:pPr>
            <w:r>
              <w:rPr>
                <w:rFonts w:hint="eastAsia"/>
                <w:sz w:val="22"/>
                <w:szCs w:val="20"/>
                <w:lang w:val="zh-CN"/>
              </w:rPr>
              <w:t>未完成原因分析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2" w:hRule="atLeast"/>
        </w:trPr>
        <w:tc>
          <w:tcPr>
            <w:tcW w:w="1387" w:type="dxa"/>
          </w:tcPr>
          <w:p>
            <w:pPr>
              <w:keepNext/>
              <w:keepLines/>
              <w:pageBreakBefore w:val="0"/>
              <w:widowControl w:val="0"/>
              <w:kinsoku/>
              <w:wordWrap/>
              <w:overflowPunct/>
              <w:topLinePunct w:val="0"/>
              <w:autoSpaceDE/>
              <w:autoSpaceDN/>
              <w:bidi w:val="0"/>
              <w:adjustRightInd w:val="0"/>
              <w:snapToGrid w:val="0"/>
              <w:spacing w:line="240" w:lineRule="auto"/>
              <w:textAlignment w:val="auto"/>
              <w:rPr>
                <w:sz w:val="22"/>
                <w:szCs w:val="20"/>
                <w:lang w:val="zh-CN"/>
              </w:rPr>
            </w:pPr>
            <w:r>
              <w:rPr>
                <w:rFonts w:hint="eastAsia"/>
                <w:sz w:val="22"/>
                <w:szCs w:val="20"/>
                <w:lang w:val="zh-CN"/>
              </w:rPr>
              <w:t>51090022T000004802766-120指挥调度系统运行经费</w:t>
            </w:r>
          </w:p>
        </w:tc>
        <w:tc>
          <w:tcPr>
            <w:tcW w:w="2735" w:type="dxa"/>
          </w:tcPr>
          <w:p>
            <w:pPr>
              <w:keepNext/>
              <w:keepLines/>
              <w:pageBreakBefore w:val="0"/>
              <w:widowControl w:val="0"/>
              <w:kinsoku/>
              <w:wordWrap/>
              <w:overflowPunct/>
              <w:topLinePunct w:val="0"/>
              <w:autoSpaceDE/>
              <w:autoSpaceDN/>
              <w:bidi w:val="0"/>
              <w:adjustRightInd w:val="0"/>
              <w:snapToGrid w:val="0"/>
              <w:spacing w:line="240" w:lineRule="auto"/>
              <w:jc w:val="center"/>
              <w:textAlignment w:val="auto"/>
              <w:rPr>
                <w:sz w:val="22"/>
                <w:szCs w:val="20"/>
                <w:lang w:val="zh-CN"/>
              </w:rPr>
            </w:pPr>
            <w:r>
              <w:rPr>
                <w:rFonts w:hint="eastAsia"/>
                <w:sz w:val="22"/>
                <w:szCs w:val="20"/>
                <w:lang w:val="zh-CN"/>
              </w:rPr>
              <w:t>利用计算机网络、语音处理、通信网络及车辆卫星定位等信息技术，实现对区域内院前急救资源的综合管理和对急救事件、突发事件及灾害事件的分析、计划、组织、协调和及时的控制等</w:t>
            </w:r>
          </w:p>
        </w:tc>
        <w:tc>
          <w:tcPr>
            <w:tcW w:w="582" w:type="dxa"/>
            <w:vAlign w:val="center"/>
          </w:tcPr>
          <w:p>
            <w:pPr>
              <w:keepNext/>
              <w:keepLines w:val="0"/>
              <w:pageBreakBefore w:val="0"/>
              <w:widowControl w:val="0"/>
              <w:kinsoku w:val="0"/>
              <w:wordWrap/>
              <w:overflowPunct w:val="0"/>
              <w:topLinePunct w:val="0"/>
              <w:autoSpaceDE w:val="0"/>
              <w:autoSpaceDN w:val="0"/>
              <w:bidi w:val="0"/>
              <w:adjustRightInd w:val="0"/>
              <w:snapToGrid w:val="0"/>
              <w:spacing w:line="240" w:lineRule="auto"/>
              <w:jc w:val="center"/>
              <w:textAlignment w:val="auto"/>
              <w:rPr>
                <w:rFonts w:eastAsia="仿宋_GB2312"/>
                <w:sz w:val="22"/>
                <w:szCs w:val="20"/>
              </w:rPr>
            </w:pPr>
            <w:r>
              <w:rPr>
                <w:rFonts w:hint="eastAsia"/>
                <w:sz w:val="22"/>
                <w:szCs w:val="20"/>
              </w:rPr>
              <w:t>1</w:t>
            </w:r>
          </w:p>
        </w:tc>
        <w:tc>
          <w:tcPr>
            <w:tcW w:w="781" w:type="dxa"/>
            <w:vAlign w:val="center"/>
          </w:tcPr>
          <w:p>
            <w:pPr>
              <w:keepNext/>
              <w:keepLines/>
              <w:pageBreakBefore w:val="0"/>
              <w:widowControl w:val="0"/>
              <w:kinsoku/>
              <w:wordWrap/>
              <w:overflowPunct/>
              <w:topLinePunct w:val="0"/>
              <w:autoSpaceDE/>
              <w:autoSpaceDN/>
              <w:bidi w:val="0"/>
              <w:adjustRightInd w:val="0"/>
              <w:snapToGrid w:val="0"/>
              <w:spacing w:line="240" w:lineRule="auto"/>
              <w:jc w:val="center"/>
              <w:textAlignment w:val="auto"/>
              <w:rPr>
                <w:rFonts w:eastAsia="仿宋_GB2312"/>
                <w:sz w:val="22"/>
                <w:szCs w:val="20"/>
              </w:rPr>
            </w:pPr>
            <w:r>
              <w:rPr>
                <w:rFonts w:hint="eastAsia"/>
                <w:sz w:val="22"/>
                <w:szCs w:val="20"/>
              </w:rPr>
              <w:t>24.21万元</w:t>
            </w:r>
          </w:p>
        </w:tc>
        <w:tc>
          <w:tcPr>
            <w:tcW w:w="803" w:type="dxa"/>
            <w:vAlign w:val="center"/>
          </w:tcPr>
          <w:p>
            <w:pPr>
              <w:keepNext/>
              <w:keepLines/>
              <w:pageBreakBefore w:val="0"/>
              <w:widowControl w:val="0"/>
              <w:kinsoku/>
              <w:wordWrap/>
              <w:overflowPunct/>
              <w:topLinePunct w:val="0"/>
              <w:autoSpaceDE/>
              <w:autoSpaceDN/>
              <w:bidi w:val="0"/>
              <w:adjustRightInd w:val="0"/>
              <w:snapToGrid w:val="0"/>
              <w:spacing w:line="240" w:lineRule="auto"/>
              <w:jc w:val="center"/>
              <w:textAlignment w:val="auto"/>
              <w:rPr>
                <w:rFonts w:eastAsia="仿宋_GB2312"/>
                <w:sz w:val="22"/>
                <w:szCs w:val="20"/>
              </w:rPr>
            </w:pPr>
            <w:r>
              <w:rPr>
                <w:rFonts w:hint="eastAsia"/>
                <w:sz w:val="22"/>
                <w:szCs w:val="20"/>
              </w:rPr>
              <w:t>24.19万元</w:t>
            </w:r>
          </w:p>
        </w:tc>
        <w:tc>
          <w:tcPr>
            <w:tcW w:w="1061" w:type="dxa"/>
            <w:vAlign w:val="center"/>
          </w:tcPr>
          <w:p>
            <w:pPr>
              <w:keepNext/>
              <w:keepLines/>
              <w:pageBreakBefore w:val="0"/>
              <w:widowControl w:val="0"/>
              <w:kinsoku/>
              <w:wordWrap/>
              <w:overflowPunct/>
              <w:topLinePunct w:val="0"/>
              <w:autoSpaceDE/>
              <w:autoSpaceDN/>
              <w:bidi w:val="0"/>
              <w:adjustRightInd w:val="0"/>
              <w:snapToGrid w:val="0"/>
              <w:spacing w:line="240" w:lineRule="auto"/>
              <w:jc w:val="center"/>
              <w:textAlignment w:val="auto"/>
              <w:rPr>
                <w:rFonts w:eastAsia="仿宋_GB2312"/>
                <w:sz w:val="22"/>
                <w:szCs w:val="20"/>
              </w:rPr>
            </w:pPr>
            <w:r>
              <w:rPr>
                <w:rFonts w:hint="eastAsia"/>
                <w:sz w:val="22"/>
                <w:szCs w:val="20"/>
              </w:rPr>
              <w:t>99.92%</w:t>
            </w:r>
          </w:p>
        </w:tc>
        <w:tc>
          <w:tcPr>
            <w:tcW w:w="2248" w:type="dxa"/>
            <w:vAlign w:val="center"/>
          </w:tcPr>
          <w:p>
            <w:pPr>
              <w:keepNext/>
              <w:keepLines/>
              <w:pageBreakBefore w:val="0"/>
              <w:widowControl w:val="0"/>
              <w:kinsoku/>
              <w:wordWrap/>
              <w:overflowPunct/>
              <w:topLinePunct w:val="0"/>
              <w:autoSpaceDE/>
              <w:autoSpaceDN/>
              <w:bidi w:val="0"/>
              <w:adjustRightInd w:val="0"/>
              <w:snapToGrid w:val="0"/>
              <w:spacing w:line="240" w:lineRule="auto"/>
              <w:jc w:val="center"/>
              <w:textAlignment w:val="auto"/>
              <w:rPr>
                <w:rFonts w:eastAsia="仿宋_GB2312"/>
                <w:sz w:val="22"/>
                <w:szCs w:val="20"/>
              </w:rPr>
            </w:pPr>
            <w:r>
              <w:rPr>
                <w:rFonts w:hint="eastAsia"/>
                <w:sz w:val="22"/>
                <w:szCs w:val="20"/>
              </w:rPr>
              <w:t>根据具体使用情况据实支付，与目标值存在少数误差。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9" w:hRule="atLeast"/>
        </w:trPr>
        <w:tc>
          <w:tcPr>
            <w:tcW w:w="1387" w:type="dxa"/>
          </w:tcPr>
          <w:p>
            <w:pPr>
              <w:keepNext/>
              <w:keepLines/>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hAnsi="仿宋_GB2312" w:eastAsia="仿宋_GB2312" w:cs="仿宋_GB2312"/>
                <w:sz w:val="22"/>
                <w:szCs w:val="22"/>
                <w:lang w:val="zh-CN"/>
              </w:rPr>
            </w:pPr>
            <w:r>
              <w:rPr>
                <w:rFonts w:hint="eastAsia" w:ascii="仿宋_GB2312" w:hAnsi="仿宋_GB2312" w:eastAsia="仿宋_GB2312" w:cs="仿宋_GB2312"/>
                <w:sz w:val="22"/>
                <w:szCs w:val="22"/>
                <w:lang w:val="zh-CN"/>
              </w:rPr>
              <w:t>51090024T000010310261－中医药传承创新</w:t>
            </w:r>
          </w:p>
        </w:tc>
        <w:tc>
          <w:tcPr>
            <w:tcW w:w="2735" w:type="dxa"/>
          </w:tcPr>
          <w:p>
            <w:pPr>
              <w:keepNext/>
              <w:keepLines/>
              <w:pageBreakBefore w:val="0"/>
              <w:widowControl w:val="0"/>
              <w:kinsoku/>
              <w:wordWrap/>
              <w:overflowPunct/>
              <w:topLinePunct w:val="0"/>
              <w:autoSpaceDE/>
              <w:autoSpaceDN/>
              <w:bidi w:val="0"/>
              <w:adjustRightInd w:val="0"/>
              <w:snapToGrid w:val="0"/>
              <w:spacing w:line="240" w:lineRule="auto"/>
              <w:jc w:val="center"/>
              <w:textAlignment w:val="auto"/>
              <w:rPr>
                <w:sz w:val="22"/>
                <w:szCs w:val="20"/>
                <w:lang w:val="zh-CN"/>
              </w:rPr>
            </w:pPr>
            <w:r>
              <w:rPr>
                <w:rFonts w:hint="eastAsia"/>
                <w:sz w:val="22"/>
                <w:szCs w:val="20"/>
                <w:lang w:val="zh-CN"/>
              </w:rPr>
              <w:t>建立持续稳定的中医药发展多元化机制，在卫生健康投入中统筹安排中医药事业发展，保证全市群众能够得到准确及时的急救医疗服务，减少群众在突发事件发生时的伤害，进一步提高群众对院前急救工作的满意度和获得感。</w:t>
            </w:r>
          </w:p>
        </w:tc>
        <w:tc>
          <w:tcPr>
            <w:tcW w:w="582" w:type="dxa"/>
            <w:vAlign w:val="center"/>
          </w:tcPr>
          <w:p>
            <w:pPr>
              <w:keepNext/>
              <w:keepLines/>
              <w:pageBreakBefore w:val="0"/>
              <w:widowControl w:val="0"/>
              <w:kinsoku/>
              <w:wordWrap/>
              <w:overflowPunct/>
              <w:topLinePunct w:val="0"/>
              <w:autoSpaceDE/>
              <w:autoSpaceDN/>
              <w:bidi w:val="0"/>
              <w:adjustRightInd w:val="0"/>
              <w:snapToGrid w:val="0"/>
              <w:spacing w:line="240" w:lineRule="auto"/>
              <w:jc w:val="center"/>
              <w:textAlignment w:val="auto"/>
              <w:rPr>
                <w:rFonts w:eastAsia="仿宋_GB2312"/>
                <w:sz w:val="22"/>
                <w:szCs w:val="20"/>
              </w:rPr>
            </w:pPr>
            <w:r>
              <w:rPr>
                <w:rFonts w:hint="eastAsia"/>
                <w:sz w:val="22"/>
                <w:szCs w:val="20"/>
              </w:rPr>
              <w:t>1</w:t>
            </w:r>
          </w:p>
        </w:tc>
        <w:tc>
          <w:tcPr>
            <w:tcW w:w="781" w:type="dxa"/>
            <w:vAlign w:val="center"/>
          </w:tcPr>
          <w:p>
            <w:pPr>
              <w:keepNext/>
              <w:keepLines/>
              <w:pageBreakBefore w:val="0"/>
              <w:widowControl w:val="0"/>
              <w:kinsoku/>
              <w:wordWrap/>
              <w:overflowPunct/>
              <w:topLinePunct w:val="0"/>
              <w:autoSpaceDE/>
              <w:autoSpaceDN/>
              <w:bidi w:val="0"/>
              <w:adjustRightInd w:val="0"/>
              <w:snapToGrid w:val="0"/>
              <w:spacing w:line="240" w:lineRule="auto"/>
              <w:jc w:val="center"/>
              <w:textAlignment w:val="auto"/>
              <w:rPr>
                <w:rFonts w:eastAsia="仿宋_GB2312"/>
                <w:sz w:val="22"/>
                <w:szCs w:val="20"/>
              </w:rPr>
            </w:pPr>
            <w:r>
              <w:rPr>
                <w:rFonts w:hint="eastAsia"/>
                <w:sz w:val="22"/>
                <w:szCs w:val="20"/>
              </w:rPr>
              <w:t>25万元</w:t>
            </w:r>
          </w:p>
        </w:tc>
        <w:tc>
          <w:tcPr>
            <w:tcW w:w="803" w:type="dxa"/>
            <w:vAlign w:val="center"/>
          </w:tcPr>
          <w:p>
            <w:pPr>
              <w:keepNext/>
              <w:keepLines/>
              <w:pageBreakBefore w:val="0"/>
              <w:widowControl w:val="0"/>
              <w:kinsoku/>
              <w:wordWrap/>
              <w:overflowPunct/>
              <w:topLinePunct w:val="0"/>
              <w:autoSpaceDE/>
              <w:autoSpaceDN/>
              <w:bidi w:val="0"/>
              <w:adjustRightInd w:val="0"/>
              <w:snapToGrid w:val="0"/>
              <w:spacing w:line="240" w:lineRule="auto"/>
              <w:jc w:val="center"/>
              <w:textAlignment w:val="auto"/>
              <w:rPr>
                <w:rFonts w:eastAsia="仿宋_GB2312"/>
                <w:sz w:val="22"/>
                <w:szCs w:val="20"/>
              </w:rPr>
            </w:pPr>
            <w:r>
              <w:rPr>
                <w:rFonts w:hint="eastAsia"/>
                <w:sz w:val="22"/>
                <w:szCs w:val="20"/>
              </w:rPr>
              <w:t>24.99万元</w:t>
            </w:r>
          </w:p>
        </w:tc>
        <w:tc>
          <w:tcPr>
            <w:tcW w:w="1061" w:type="dxa"/>
            <w:vAlign w:val="center"/>
          </w:tcPr>
          <w:p>
            <w:pPr>
              <w:keepNext/>
              <w:keepLines/>
              <w:pageBreakBefore w:val="0"/>
              <w:widowControl w:val="0"/>
              <w:kinsoku/>
              <w:wordWrap/>
              <w:overflowPunct/>
              <w:topLinePunct w:val="0"/>
              <w:autoSpaceDE/>
              <w:autoSpaceDN/>
              <w:bidi w:val="0"/>
              <w:adjustRightInd w:val="0"/>
              <w:snapToGrid w:val="0"/>
              <w:spacing w:line="240" w:lineRule="auto"/>
              <w:jc w:val="center"/>
              <w:textAlignment w:val="auto"/>
              <w:rPr>
                <w:rFonts w:eastAsia="仿宋_GB2312"/>
                <w:sz w:val="22"/>
                <w:szCs w:val="20"/>
              </w:rPr>
            </w:pPr>
            <w:r>
              <w:rPr>
                <w:rFonts w:hint="eastAsia"/>
                <w:sz w:val="22"/>
                <w:szCs w:val="20"/>
              </w:rPr>
              <w:t>99.96%</w:t>
            </w:r>
          </w:p>
        </w:tc>
        <w:tc>
          <w:tcPr>
            <w:tcW w:w="2248" w:type="dxa"/>
            <w:vAlign w:val="center"/>
          </w:tcPr>
          <w:p>
            <w:pPr>
              <w:keepNext/>
              <w:keepLines/>
              <w:pageBreakBefore w:val="0"/>
              <w:widowControl w:val="0"/>
              <w:kinsoku/>
              <w:wordWrap/>
              <w:overflowPunct/>
              <w:topLinePunct w:val="0"/>
              <w:autoSpaceDE/>
              <w:autoSpaceDN/>
              <w:bidi w:val="0"/>
              <w:adjustRightInd w:val="0"/>
              <w:snapToGrid w:val="0"/>
              <w:spacing w:line="240" w:lineRule="auto"/>
              <w:jc w:val="center"/>
              <w:textAlignment w:val="auto"/>
              <w:rPr>
                <w:sz w:val="22"/>
                <w:szCs w:val="20"/>
                <w:lang w:val="zh-CN"/>
              </w:rPr>
            </w:pPr>
            <w:r>
              <w:rPr>
                <w:rFonts w:hint="eastAsia"/>
                <w:sz w:val="22"/>
                <w:szCs w:val="20"/>
              </w:rPr>
              <w:t>根据具体使用情况据实支付，与目标值存在少数误差。</w:t>
            </w:r>
          </w:p>
        </w:tc>
      </w:tr>
    </w:tbl>
    <w:p>
      <w:pPr>
        <w:pStyle w:val="2"/>
      </w:pPr>
    </w:p>
    <w:p/>
    <w:p>
      <w:pPr>
        <w:ind w:left="640"/>
      </w:pPr>
    </w:p>
    <w:p>
      <w:pPr>
        <w:spacing w:line="360" w:lineRule="auto"/>
        <w:ind w:firstLine="642" w:firstLineChars="200"/>
        <w:rPr>
          <w:rFonts w:ascii="仿宋" w:hAnsi="仿宋" w:eastAsia="仿宋" w:cs="仿宋"/>
          <w:sz w:val="32"/>
          <w:szCs w:val="32"/>
          <w:lang w:val="zh-CN"/>
        </w:rPr>
      </w:pPr>
      <w:r>
        <w:rPr>
          <w:rFonts w:hint="eastAsia" w:ascii="仿宋" w:hAnsi="仿宋" w:eastAsia="仿宋" w:cs="仿宋"/>
          <w:b/>
          <w:sz w:val="32"/>
          <w:szCs w:val="32"/>
          <w:lang w:val="zh-CN"/>
        </w:rPr>
        <w:t>（二）</w:t>
      </w:r>
      <w:r>
        <w:rPr>
          <w:rFonts w:hint="eastAsia" w:ascii="仿宋" w:hAnsi="仿宋" w:eastAsia="仿宋" w:cs="仿宋"/>
          <w:b/>
          <w:sz w:val="32"/>
          <w:szCs w:val="32"/>
        </w:rPr>
        <w:t>专用指标</w:t>
      </w:r>
      <w:r>
        <w:rPr>
          <w:rFonts w:hint="eastAsia" w:ascii="仿宋" w:hAnsi="仿宋" w:eastAsia="仿宋" w:cs="仿宋"/>
          <w:b/>
          <w:bCs/>
          <w:color w:val="000000"/>
          <w:kern w:val="0"/>
          <w:sz w:val="32"/>
          <w:szCs w:val="32"/>
          <w:shd w:val="clear" w:color="auto" w:fill="FFFFFF"/>
          <w:lang w:val="zh-CN"/>
        </w:rPr>
        <w:t>绩效分析。</w:t>
      </w:r>
      <w:r>
        <w:rPr>
          <w:rFonts w:hint="eastAsia" w:ascii="仿宋" w:hAnsi="仿宋" w:eastAsia="仿宋" w:cs="仿宋"/>
          <w:sz w:val="32"/>
          <w:szCs w:val="32"/>
          <w:lang w:val="zh-CN"/>
        </w:rPr>
        <w:t>根据</w:t>
      </w:r>
      <w:r>
        <w:rPr>
          <w:rFonts w:hint="eastAsia" w:ascii="仿宋" w:hAnsi="仿宋" w:eastAsia="仿宋" w:cs="仿宋"/>
          <w:sz w:val="32"/>
          <w:szCs w:val="32"/>
        </w:rPr>
        <w:t>专项资金支持对象选择所属指标进行绩效分析。支持对象</w:t>
      </w:r>
      <w:r>
        <w:rPr>
          <w:rFonts w:hint="eastAsia" w:ascii="仿宋" w:hAnsi="仿宋" w:eastAsia="仿宋" w:cs="仿宋"/>
          <w:sz w:val="32"/>
          <w:szCs w:val="32"/>
          <w:lang w:val="zh-CN"/>
        </w:rPr>
        <w:t>包括产业发展、民生保障、基础设施、行政运转等方面。</w:t>
      </w:r>
    </w:p>
    <w:p>
      <w:pPr>
        <w:spacing w:line="590" w:lineRule="exact"/>
        <w:ind w:firstLine="642" w:firstLineChars="200"/>
        <w:rPr>
          <w:rFonts w:ascii="仿宋" w:hAnsi="仿宋" w:eastAsia="仿宋" w:cs="仿宋"/>
          <w:sz w:val="32"/>
          <w:szCs w:val="32"/>
        </w:rPr>
      </w:pPr>
      <w:r>
        <w:rPr>
          <w:rFonts w:hint="eastAsia" w:ascii="仿宋" w:hAnsi="仿宋" w:eastAsia="仿宋" w:cs="仿宋"/>
          <w:b/>
          <w:bCs/>
          <w:sz w:val="32"/>
          <w:szCs w:val="32"/>
        </w:rPr>
        <w:t>1. 产业发展</w:t>
      </w:r>
      <w:r>
        <w:rPr>
          <w:rFonts w:hint="eastAsia" w:ascii="仿宋" w:hAnsi="仿宋" w:eastAsia="仿宋" w:cs="仿宋"/>
          <w:sz w:val="32"/>
          <w:szCs w:val="32"/>
        </w:rPr>
        <w:t>。我单位为民生保障支持对象。</w:t>
      </w:r>
      <w:r>
        <w:rPr>
          <w:rFonts w:hint="eastAsia" w:ascii="仿宋" w:hAnsi="仿宋" w:eastAsia="仿宋" w:cs="仿宋"/>
          <w:sz w:val="32"/>
          <w:szCs w:val="32"/>
          <w:lang w:val="zh-CN"/>
        </w:rPr>
        <w:t>不涉及</w:t>
      </w:r>
      <w:r>
        <w:rPr>
          <w:rFonts w:hint="eastAsia" w:ascii="仿宋" w:hAnsi="仿宋" w:eastAsia="仿宋" w:cs="仿宋"/>
          <w:sz w:val="32"/>
          <w:szCs w:val="32"/>
        </w:rPr>
        <w:t>产业发展、基础设施、</w:t>
      </w:r>
      <w:r>
        <w:rPr>
          <w:rFonts w:hint="eastAsia" w:ascii="仿宋" w:hAnsi="仿宋" w:eastAsia="仿宋" w:cs="仿宋"/>
          <w:sz w:val="32"/>
          <w:szCs w:val="32"/>
          <w:lang w:val="zh-CN"/>
        </w:rPr>
        <w:t>行政运转。</w:t>
      </w:r>
    </w:p>
    <w:p>
      <w:pPr>
        <w:pStyle w:val="2"/>
        <w:ind w:firstLine="642" w:firstLineChars="200"/>
        <w:rPr>
          <w:rFonts w:ascii="仿宋" w:hAnsi="仿宋" w:eastAsia="仿宋" w:cs="仿宋"/>
          <w:szCs w:val="32"/>
          <w:lang w:val="zh-CN"/>
        </w:rPr>
      </w:pPr>
      <w:r>
        <w:rPr>
          <w:rFonts w:hint="eastAsia" w:ascii="仿宋" w:hAnsi="仿宋" w:eastAsia="仿宋" w:cs="仿宋"/>
          <w:b/>
          <w:bCs/>
          <w:szCs w:val="32"/>
        </w:rPr>
        <w:t xml:space="preserve">2. </w:t>
      </w:r>
      <w:r>
        <w:rPr>
          <w:rFonts w:hint="eastAsia" w:ascii="仿宋" w:hAnsi="仿宋" w:eastAsia="仿宋" w:cs="仿宋"/>
          <w:b/>
          <w:bCs/>
          <w:szCs w:val="32"/>
          <w:lang w:val="zh-CN"/>
        </w:rPr>
        <w:t>民生保障。</w:t>
      </w:r>
      <w:r>
        <w:rPr>
          <w:rFonts w:hint="eastAsia" w:ascii="仿宋" w:hAnsi="仿宋" w:eastAsia="仿宋" w:cs="仿宋"/>
          <w:szCs w:val="32"/>
        </w:rPr>
        <w:t>1.</w:t>
      </w:r>
      <w:r>
        <w:rPr>
          <w:rFonts w:hint="eastAsia" w:ascii="仿宋" w:hAnsi="仿宋" w:eastAsia="仿宋" w:cs="仿宋"/>
          <w:szCs w:val="32"/>
          <w:lang w:val="zh-CN"/>
        </w:rPr>
        <w:t>根据区域均衡性按实际区域分配结果选择客观因素测算验证资金分配的科学合理性、均衡公平。保障120指挥调度平台正常运行，做到了及时应答，维护社会秩序，高效应对突发事件的发生。同时完成中医药在卫生健康统筹中的多元化发展。进一步提高院前急救医疗服务质量。</w:t>
      </w:r>
    </w:p>
    <w:p>
      <w:pPr>
        <w:rPr>
          <w:rFonts w:ascii="仿宋" w:hAnsi="仿宋" w:eastAsia="仿宋" w:cs="仿宋"/>
          <w:sz w:val="32"/>
          <w:szCs w:val="32"/>
        </w:rPr>
      </w:pPr>
      <w:r>
        <w:rPr>
          <w:rFonts w:hint="eastAsia" w:ascii="仿宋" w:hAnsi="仿宋" w:eastAsia="仿宋" w:cs="仿宋"/>
          <w:sz w:val="32"/>
          <w:szCs w:val="32"/>
        </w:rPr>
        <w:t xml:space="preserve">    2.把控资金对象精准性；运行经费预算金额为24.21万元，资金使用为24.19万元，使用率为99.92%。</w:t>
      </w:r>
      <w:r>
        <w:rPr>
          <w:rFonts w:hint="eastAsia" w:ascii="仿宋" w:hAnsi="仿宋" w:eastAsia="仿宋" w:cs="仿宋"/>
          <w:sz w:val="32"/>
          <w:szCs w:val="32"/>
          <w:lang w:val="zh-CN"/>
        </w:rPr>
        <w:t>中医药传承创新市级补助资金</w:t>
      </w:r>
      <w:r>
        <w:rPr>
          <w:rFonts w:hint="eastAsia" w:ascii="仿宋" w:hAnsi="仿宋" w:eastAsia="仿宋" w:cs="仿宋"/>
          <w:sz w:val="32"/>
          <w:szCs w:val="32"/>
        </w:rPr>
        <w:t>25万元，资金使用为24.99万元，使用率为99.96%。</w:t>
      </w:r>
    </w:p>
    <w:p>
      <w:pPr>
        <w:pStyle w:val="2"/>
        <w:ind w:firstLine="642" w:firstLineChars="200"/>
        <w:rPr>
          <w:rFonts w:ascii="仿宋" w:hAnsi="仿宋" w:eastAsia="仿宋" w:cs="仿宋"/>
          <w:szCs w:val="32"/>
        </w:rPr>
      </w:pPr>
      <w:r>
        <w:rPr>
          <w:rFonts w:hint="eastAsia" w:ascii="仿宋" w:hAnsi="仿宋" w:eastAsia="仿宋" w:cs="仿宋"/>
          <w:b/>
          <w:bCs/>
          <w:szCs w:val="32"/>
        </w:rPr>
        <w:t>3.标准合理性。</w:t>
      </w:r>
      <w:r>
        <w:rPr>
          <w:rFonts w:hint="eastAsia" w:ascii="仿宋" w:hAnsi="仿宋" w:eastAsia="仿宋" w:cs="仿宋"/>
          <w:szCs w:val="32"/>
        </w:rPr>
        <w:t>我中心为</w:t>
      </w:r>
      <w:r>
        <w:rPr>
          <w:rFonts w:hint="eastAsia" w:ascii="仿宋" w:hAnsi="仿宋" w:eastAsia="仿宋" w:cs="仿宋"/>
          <w:szCs w:val="32"/>
          <w:lang w:val="zh-CN"/>
        </w:rPr>
        <w:t>保障120指挥调度平台正常运行，</w:t>
      </w:r>
      <w:r>
        <w:rPr>
          <w:rFonts w:hint="eastAsia" w:ascii="仿宋" w:hAnsi="仿宋" w:eastAsia="仿宋" w:cs="仿宋"/>
          <w:szCs w:val="32"/>
        </w:rPr>
        <w:t>2024年专项资金具体使用情况为电信业务使用费16.12万元、短信业务使用费0.5万元、调度使用IP电话6台0.47万元、</w:t>
      </w:r>
      <w:r>
        <w:rPr>
          <w:rFonts w:hint="eastAsia" w:ascii="仿宋" w:hAnsi="仿宋" w:eastAsia="仿宋" w:cs="仿宋"/>
          <w:szCs w:val="32"/>
          <w:lang w:val="zh-CN"/>
        </w:rPr>
        <w:t>120指挥调度平</w:t>
      </w:r>
      <w:r>
        <w:rPr>
          <w:rFonts w:hint="eastAsia" w:ascii="仿宋" w:hAnsi="仿宋" w:eastAsia="仿宋" w:cs="仿宋"/>
          <w:szCs w:val="32"/>
        </w:rPr>
        <w:t>台购买服务费24万元、院前急救能力培训费0.99万元。</w:t>
      </w:r>
    </w:p>
    <w:p>
      <w:pPr>
        <w:rPr>
          <w:rFonts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4.群众满意度；</w:t>
      </w:r>
      <w:r>
        <w:rPr>
          <w:rFonts w:hint="eastAsia" w:ascii="仿宋" w:hAnsi="仿宋" w:eastAsia="仿宋" w:cs="仿宋"/>
          <w:sz w:val="32"/>
          <w:szCs w:val="32"/>
        </w:rPr>
        <w:t>2024年市紧急医疗救援中心共受理“120”报警电话180930次，急救派车42461次，救治伤病员 35216人</w:t>
      </w:r>
      <w:r>
        <w:rPr>
          <w:rFonts w:hint="eastAsia" w:ascii="仿宋" w:hAnsi="仿宋" w:eastAsia="仿宋" w:cs="仿宋"/>
          <w:sz w:val="32"/>
          <w:szCs w:val="32"/>
          <w:lang w:eastAsia="zh-CN"/>
        </w:rPr>
        <w:t>，</w:t>
      </w:r>
      <w:r>
        <w:rPr>
          <w:rFonts w:hint="eastAsia" w:ascii="仿宋" w:hAnsi="仿宋" w:eastAsia="仿宋" w:cs="仿宋"/>
          <w:sz w:val="32"/>
          <w:szCs w:val="32"/>
        </w:rPr>
        <w:t>处置突发事件1405次，群众满意度96%。2024年调度员10秒平均摘机时长4秒，10秒接听率100%，平均受理时长1分53秒，平均调派时长27秒，呼叫满足率100%。</w:t>
      </w:r>
    </w:p>
    <w:p>
      <w:pPr>
        <w:pStyle w:val="2"/>
        <w:rPr>
          <w:rFonts w:ascii="仿宋" w:hAnsi="仿宋" w:eastAsia="仿宋" w:cs="仿宋"/>
          <w:szCs w:val="32"/>
        </w:rPr>
      </w:pPr>
      <w:r>
        <w:rPr>
          <w:rFonts w:hint="eastAsia" w:ascii="仿宋" w:hAnsi="仿宋" w:eastAsia="仿宋" w:cs="仿宋"/>
          <w:b/>
          <w:szCs w:val="32"/>
          <w:lang w:val="zh-CN"/>
        </w:rPr>
        <w:t>（三）</w:t>
      </w:r>
      <w:r>
        <w:rPr>
          <w:rFonts w:hint="eastAsia" w:ascii="仿宋" w:hAnsi="仿宋" w:eastAsia="仿宋" w:cs="仿宋"/>
          <w:b/>
          <w:szCs w:val="32"/>
        </w:rPr>
        <w:t>个性指标</w:t>
      </w:r>
      <w:r>
        <w:rPr>
          <w:rFonts w:hint="eastAsia" w:ascii="仿宋" w:hAnsi="仿宋" w:eastAsia="仿宋" w:cs="仿宋"/>
          <w:b/>
          <w:bCs/>
          <w:color w:val="000000"/>
          <w:kern w:val="0"/>
          <w:szCs w:val="32"/>
          <w:shd w:val="clear" w:color="auto" w:fill="FFFFFF"/>
          <w:lang w:val="zh-CN"/>
        </w:rPr>
        <w:t>绩效分析。</w:t>
      </w:r>
      <w:r>
        <w:rPr>
          <w:rFonts w:hint="eastAsia" w:ascii="仿宋" w:hAnsi="仿宋" w:eastAsia="仿宋" w:cs="仿宋"/>
          <w:szCs w:val="32"/>
          <w:lang w:val="zh-CN"/>
        </w:rPr>
        <w:t>根据项目个性自行设定部分指标，本年度均完成了项目指标。加强了指挥调度能力，为群众提供及时准确的急救医疗服务。</w:t>
      </w:r>
    </w:p>
    <w:p>
      <w:pPr>
        <w:pStyle w:val="6"/>
        <w:tabs>
          <w:tab w:val="left" w:pos="2160"/>
        </w:tabs>
        <w:spacing w:before="93" w:line="590" w:lineRule="exact"/>
        <w:rPr>
          <w:rFonts w:ascii="仿宋" w:hAnsi="仿宋" w:eastAsia="仿宋" w:cs="仿宋"/>
          <w:b/>
          <w:bCs/>
          <w:sz w:val="32"/>
          <w:szCs w:val="32"/>
        </w:rPr>
      </w:pPr>
      <w:r>
        <w:rPr>
          <w:rFonts w:hint="eastAsia" w:ascii="仿宋" w:hAnsi="仿宋" w:eastAsia="仿宋" w:cs="仿宋"/>
          <w:b/>
          <w:bCs/>
          <w:sz w:val="32"/>
          <w:szCs w:val="32"/>
        </w:rPr>
        <w:t>四、评价结论</w:t>
      </w:r>
    </w:p>
    <w:p>
      <w:pPr>
        <w:adjustRightInd w:val="0"/>
        <w:snapToGrid w:val="0"/>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通过对2024年120指挥调度系统运行资金、中医药传承</w:t>
      </w:r>
      <w:r>
        <w:rPr>
          <w:rFonts w:hint="eastAsia" w:ascii="仿宋" w:hAnsi="仿宋" w:eastAsia="仿宋" w:cs="仿宋"/>
          <w:sz w:val="32"/>
          <w:szCs w:val="32"/>
          <w:lang w:eastAsia="zh-CN"/>
        </w:rPr>
        <w:t>创</w:t>
      </w:r>
      <w:r>
        <w:rPr>
          <w:rFonts w:hint="eastAsia" w:ascii="仿宋" w:hAnsi="仿宋" w:eastAsia="仿宋" w:cs="仿宋"/>
          <w:sz w:val="32"/>
          <w:szCs w:val="32"/>
        </w:rPr>
        <w:t>新补助资金从预算的编制、绩效的设立及财政和主管部门的要求等自评。项目的实施保障了</w:t>
      </w:r>
      <w:r>
        <w:rPr>
          <w:rFonts w:hint="eastAsia" w:ascii="仿宋" w:hAnsi="仿宋" w:eastAsia="仿宋" w:cs="仿宋"/>
          <w:color w:val="000000"/>
          <w:sz w:val="32"/>
          <w:szCs w:val="32"/>
        </w:rPr>
        <w:t>保障120指挥调度平台正常运行，保障市民健康，做到了及时应答，高效应对突发事件的发生。</w:t>
      </w:r>
      <w:r>
        <w:rPr>
          <w:rFonts w:hint="eastAsia" w:ascii="仿宋" w:hAnsi="仿宋" w:eastAsia="仿宋" w:cs="仿宋"/>
          <w:sz w:val="32"/>
          <w:szCs w:val="32"/>
        </w:rPr>
        <w:t>综合自评等级优。</w:t>
      </w:r>
    </w:p>
    <w:p>
      <w:pPr>
        <w:adjustRightInd w:val="0"/>
        <w:snapToGrid w:val="0"/>
        <w:spacing w:line="360" w:lineRule="auto"/>
        <w:rPr>
          <w:rFonts w:ascii="仿宋" w:hAnsi="仿宋" w:eastAsia="仿宋" w:cs="仿宋"/>
          <w:b/>
          <w:bCs/>
          <w:sz w:val="32"/>
          <w:szCs w:val="32"/>
        </w:rPr>
      </w:pPr>
      <w:r>
        <w:rPr>
          <w:rFonts w:hint="eastAsia" w:ascii="仿宋" w:hAnsi="仿宋" w:eastAsia="仿宋" w:cs="仿宋"/>
          <w:b/>
          <w:bCs/>
          <w:sz w:val="32"/>
          <w:szCs w:val="32"/>
        </w:rPr>
        <w:t>五、存在主要问题</w:t>
      </w:r>
    </w:p>
    <w:p>
      <w:pPr>
        <w:pStyle w:val="6"/>
        <w:tabs>
          <w:tab w:val="left" w:pos="2160"/>
        </w:tabs>
        <w:spacing w:before="93" w:line="590" w:lineRule="exact"/>
        <w:ind w:firstLine="640" w:firstLineChars="200"/>
        <w:rPr>
          <w:rFonts w:ascii="仿宋" w:hAnsi="仿宋" w:eastAsia="仿宋" w:cs="仿宋"/>
          <w:color w:val="000000"/>
          <w:sz w:val="32"/>
          <w:szCs w:val="32"/>
          <w:shd w:val="clear" w:color="auto" w:fill="FFFFFF"/>
          <w:lang w:val="zh-CN"/>
        </w:rPr>
      </w:pPr>
      <w:r>
        <w:rPr>
          <w:rFonts w:hint="eastAsia" w:ascii="仿宋" w:hAnsi="仿宋" w:eastAsia="仿宋" w:cs="仿宋"/>
          <w:color w:val="000000"/>
          <w:sz w:val="32"/>
          <w:szCs w:val="32"/>
          <w:shd w:val="clear" w:color="auto" w:fill="FFFFFF"/>
          <w:lang w:val="zh-CN"/>
        </w:rPr>
        <w:t>我单位预算编制准确性不高，预算管理有待提升。</w:t>
      </w:r>
    </w:p>
    <w:p>
      <w:pPr>
        <w:pStyle w:val="6"/>
        <w:tabs>
          <w:tab w:val="left" w:pos="2160"/>
        </w:tabs>
        <w:spacing w:before="93" w:line="590" w:lineRule="exact"/>
        <w:rPr>
          <w:rFonts w:ascii="仿宋" w:hAnsi="仿宋" w:eastAsia="仿宋" w:cs="仿宋"/>
          <w:b/>
          <w:bCs/>
          <w:position w:val="3"/>
          <w:sz w:val="32"/>
          <w:szCs w:val="32"/>
          <w:lang w:val="zh-CN"/>
        </w:rPr>
      </w:pPr>
      <w:r>
        <w:rPr>
          <w:rFonts w:hint="eastAsia" w:ascii="仿宋" w:hAnsi="仿宋" w:eastAsia="仿宋" w:cs="仿宋"/>
          <w:b/>
          <w:bCs/>
          <w:position w:val="3"/>
          <w:sz w:val="32"/>
          <w:szCs w:val="32"/>
          <w:lang w:val="zh-CN"/>
        </w:rPr>
        <w:t>六、改进建议</w:t>
      </w:r>
    </w:p>
    <w:p>
      <w:pPr>
        <w:spacing w:line="59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1.强化预算编制，并严格遵守《</w:t>
      </w:r>
      <w:r>
        <w:rPr>
          <w:rFonts w:hint="eastAsia" w:ascii="仿宋" w:hAnsi="仿宋" w:eastAsia="仿宋" w:cs="仿宋"/>
          <w:kern w:val="0"/>
          <w:sz w:val="32"/>
          <w:szCs w:val="32"/>
          <w:lang w:eastAsia="zh-CN"/>
        </w:rPr>
        <w:t>中华人民共和国预算法</w:t>
      </w:r>
      <w:r>
        <w:rPr>
          <w:rFonts w:hint="eastAsia" w:ascii="仿宋" w:hAnsi="仿宋" w:eastAsia="仿宋" w:cs="仿宋"/>
          <w:kern w:val="0"/>
          <w:sz w:val="32"/>
          <w:szCs w:val="32"/>
        </w:rPr>
        <w:t>》，各项经费收入全部纳入预算管理，提高预算精准度，追加调整预算严格执行相应的审批程序，预算内各项资金的来源、使用科目的设置规范化。</w:t>
      </w:r>
    </w:p>
    <w:p>
      <w:pPr>
        <w:spacing w:line="59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2.加强资金管理，对事前、事中全过程管理，对支出进行合理把控，避免超预算、无预算开支的现象发生，财务上和业务科室积极沟通，开展绩效工作业务培训。</w:t>
      </w:r>
    </w:p>
    <w:p>
      <w:pPr>
        <w:spacing w:line="59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4.加强财务会计人员业务培训，提升业务质量，严格执行会计基础工作规范。及时准确地记录、反映单位经济活动，确保会计制度遵守执行。须按照统一的会计准则和制度的规定对原始凭证进行审核，对不真实、不合法的原始凭证有权不予接受，并向单位负责人报告；对记载不准确、不完整的原始凭证予以退回，并按照国家统一的会计制度的规定更正、补充。</w:t>
      </w:r>
    </w:p>
    <w:p>
      <w:pPr>
        <w:pStyle w:val="3"/>
        <w:rPr>
          <w:rFonts w:ascii="黑体" w:hAnsi="黑体" w:eastAsia="黑体" w:cs="黑体"/>
        </w:rPr>
      </w:pPr>
      <w:bookmarkStart w:id="95" w:name="_GoBack"/>
      <w:bookmarkEnd w:id="95"/>
    </w:p>
    <w:p>
      <w:pPr>
        <w:ind w:left="218" w:leftChars="-200" w:right="-512" w:rightChars="-244" w:hanging="638" w:hangingChars="227"/>
        <w:jc w:val="center"/>
        <w:rPr>
          <w:b/>
          <w:bCs/>
          <w:sz w:val="28"/>
          <w:szCs w:val="36"/>
        </w:rPr>
      </w:pPr>
      <w:r>
        <w:rPr>
          <w:rFonts w:hint="eastAsia"/>
          <w:b/>
          <w:bCs/>
          <w:sz w:val="28"/>
          <w:szCs w:val="36"/>
        </w:rPr>
        <w:object>
          <v:shape id="_x0000_i1033" o:spt="75" type="#_x0000_t75" style="height:493.85pt;width:440.05pt;" o:ole="t" filled="f" o:preferrelative="t" stroked="f" coordsize="21600,21600">
            <v:path/>
            <v:fill on="f" focussize="0,0"/>
            <v:stroke on="f" joinstyle="miter"/>
            <v:imagedata r:id="rId33" o:title="oleetimg_1754962669899221_860882944"/>
            <o:lock v:ext="edit" aspectratio="t"/>
            <w10:wrap type="none"/>
            <w10:anchorlock/>
          </v:shape>
          <o:OLEObject Type="Embed" ProgID="Excel.Sheet.12" ShapeID="_x0000_i1033" DrawAspect="Content" ObjectID="_1468075732" r:id="rId32">
            <o:LockedField>false</o:LockedField>
          </o:OLEObject>
        </w:object>
      </w:r>
    </w:p>
    <w:p>
      <w:pPr>
        <w:ind w:left="315" w:leftChars="150" w:firstLine="1405" w:firstLineChars="500"/>
        <w:rPr>
          <w:b/>
          <w:bCs/>
          <w:sz w:val="28"/>
          <w:szCs w:val="36"/>
        </w:rPr>
      </w:pPr>
    </w:p>
    <w:p>
      <w:pPr>
        <w:ind w:left="315" w:leftChars="150" w:firstLine="1405" w:firstLineChars="500"/>
        <w:rPr>
          <w:b/>
          <w:bCs/>
          <w:sz w:val="28"/>
          <w:szCs w:val="36"/>
        </w:rPr>
      </w:pPr>
    </w:p>
    <w:p>
      <w:pPr>
        <w:ind w:left="309" w:right="218" w:rightChars="104" w:hanging="309" w:hangingChars="110"/>
        <w:sectPr>
          <w:footerReference r:id="rId7" w:type="first"/>
          <w:footerReference r:id="rId6" w:type="default"/>
          <w:pgSz w:w="11906" w:h="16838"/>
          <w:pgMar w:top="1440" w:right="1803" w:bottom="1440" w:left="1800" w:header="851" w:footer="992" w:gutter="0"/>
          <w:pgNumType w:start="1"/>
          <w:cols w:space="425" w:num="1"/>
          <w:docGrid w:type="lines" w:linePitch="312" w:charSpace="0"/>
        </w:sectPr>
      </w:pPr>
      <w:r>
        <w:rPr>
          <w:rFonts w:hint="eastAsia"/>
          <w:b/>
          <w:bCs/>
          <w:sz w:val="28"/>
          <w:szCs w:val="36"/>
        </w:rPr>
        <w:object>
          <v:shape id="_x0000_i1034" o:spt="75" type="#_x0000_t75" style="height:554pt;width:465.45pt;" o:ole="t" filled="f" o:preferrelative="t" stroked="f" coordsize="21600,21600">
            <v:path/>
            <v:fill on="f" focussize="0,0"/>
            <v:stroke on="f" joinstyle="miter"/>
            <v:imagedata r:id="rId35" o:title="oleetimg_1754962843172517_499951616"/>
            <o:lock v:ext="edit" aspectratio="t"/>
            <w10:wrap type="none"/>
            <w10:anchorlock/>
          </v:shape>
          <o:OLEObject Type="Embed" ProgID="Excel.Sheet.12" ShapeID="_x0000_i1034" DrawAspect="Content" ObjectID="_1468075733" r:id="rId34">
            <o:LockedField>false</o:LockedField>
          </o:OLEObject>
        </w:object>
      </w:r>
    </w:p>
    <w:p>
      <w:pPr>
        <w:pStyle w:val="38"/>
        <w:spacing w:line="620" w:lineRule="exact"/>
        <w:rPr>
          <w:rFonts w:ascii="Times New Roman" w:hAnsi="Times New Roman" w:eastAsia="方正小标宋简体"/>
          <w:color w:val="auto"/>
          <w:kern w:val="2"/>
          <w:sz w:val="40"/>
          <w:szCs w:val="40"/>
          <w:lang w:val="en-US"/>
        </w:rPr>
      </w:pPr>
    </w:p>
    <w:p>
      <w:pPr>
        <w:spacing w:line="600" w:lineRule="exact"/>
        <w:jc w:val="center"/>
        <w:outlineLvl w:val="0"/>
        <w:rPr>
          <w:rFonts w:ascii="黑体" w:hAnsi="黑体" w:eastAsia="黑体"/>
          <w:sz w:val="44"/>
          <w:szCs w:val="44"/>
        </w:rPr>
      </w:pPr>
      <w:bookmarkStart w:id="71" w:name="_Toc13651"/>
    </w:p>
    <w:p>
      <w:pPr>
        <w:spacing w:line="600" w:lineRule="exact"/>
        <w:jc w:val="center"/>
        <w:outlineLvl w:val="0"/>
        <w:rPr>
          <w:rFonts w:ascii="仿宋" w:hAnsi="仿宋" w:eastAsia="仿宋"/>
        </w:rPr>
      </w:pPr>
      <w:r>
        <w:rPr>
          <w:rFonts w:hint="eastAsia" w:ascii="黑体" w:hAnsi="黑体" w:eastAsia="黑体"/>
          <w:sz w:val="44"/>
          <w:szCs w:val="44"/>
        </w:rPr>
        <w:t>第</w:t>
      </w:r>
      <w:r>
        <w:rPr>
          <w:rStyle w:val="30"/>
          <w:rFonts w:hint="eastAsia" w:ascii="黑体" w:hAnsi="黑体" w:eastAsia="黑体"/>
          <w:b w:val="0"/>
        </w:rPr>
        <w:t>五部分 附表</w:t>
      </w:r>
    </w:p>
    <w:p>
      <w:pPr>
        <w:spacing w:line="600" w:lineRule="exact"/>
        <w:jc w:val="center"/>
        <w:outlineLvl w:val="0"/>
        <w:rPr>
          <w:rFonts w:ascii="黑体" w:hAnsi="黑体" w:eastAsia="黑体"/>
          <w:sz w:val="44"/>
          <w:szCs w:val="44"/>
        </w:rPr>
      </w:pPr>
    </w:p>
    <w:bookmarkEnd w:id="69"/>
    <w:bookmarkEnd w:id="70"/>
    <w:bookmarkEnd w:id="71"/>
    <w:p>
      <w:pPr>
        <w:pStyle w:val="4"/>
        <w:rPr>
          <w:rFonts w:ascii="仿宋" w:hAnsi="仿宋" w:eastAsia="仿宋"/>
        </w:rPr>
      </w:pPr>
      <w:bookmarkStart w:id="72" w:name="_Toc15396619"/>
      <w:bookmarkStart w:id="73" w:name="_Toc6282"/>
      <w:r>
        <w:rPr>
          <w:rFonts w:hint="eastAsia" w:ascii="仿宋" w:hAnsi="仿宋" w:eastAsia="仿宋"/>
          <w:b w:val="0"/>
        </w:rPr>
        <w:t>一、收</w:t>
      </w:r>
      <w:r>
        <w:rPr>
          <w:rStyle w:val="31"/>
          <w:rFonts w:hint="eastAsia" w:ascii="仿宋" w:hAnsi="仿宋" w:eastAsia="仿宋"/>
          <w:b w:val="0"/>
          <w:bCs w:val="0"/>
        </w:rPr>
        <w:t>入支出决算总表</w:t>
      </w:r>
      <w:bookmarkEnd w:id="72"/>
      <w:bookmarkEnd w:id="73"/>
    </w:p>
    <w:p>
      <w:pPr>
        <w:pStyle w:val="4"/>
        <w:rPr>
          <w:rFonts w:ascii="仿宋" w:hAnsi="仿宋" w:eastAsia="仿宋"/>
        </w:rPr>
      </w:pPr>
      <w:bookmarkStart w:id="74" w:name="_Toc18533"/>
      <w:bookmarkStart w:id="75" w:name="_Toc15396620"/>
      <w:r>
        <w:rPr>
          <w:rFonts w:hint="eastAsia" w:ascii="仿宋" w:hAnsi="仿宋" w:eastAsia="仿宋"/>
          <w:b w:val="0"/>
        </w:rPr>
        <w:t>二、收</w:t>
      </w:r>
      <w:r>
        <w:rPr>
          <w:rStyle w:val="31"/>
          <w:rFonts w:hint="eastAsia" w:ascii="仿宋" w:hAnsi="仿宋" w:eastAsia="仿宋"/>
          <w:b w:val="0"/>
          <w:bCs w:val="0"/>
        </w:rPr>
        <w:t>入决算表</w:t>
      </w:r>
      <w:bookmarkEnd w:id="74"/>
      <w:bookmarkEnd w:id="75"/>
    </w:p>
    <w:p>
      <w:pPr>
        <w:pStyle w:val="4"/>
        <w:rPr>
          <w:rFonts w:ascii="仿宋" w:hAnsi="仿宋" w:eastAsia="仿宋"/>
        </w:rPr>
      </w:pPr>
      <w:bookmarkStart w:id="76" w:name="_Toc9346"/>
      <w:bookmarkStart w:id="77" w:name="_Toc15396621"/>
      <w:r>
        <w:rPr>
          <w:rStyle w:val="31"/>
          <w:rFonts w:hint="eastAsia" w:ascii="仿宋" w:hAnsi="仿宋" w:eastAsia="仿宋"/>
          <w:b w:val="0"/>
          <w:bCs w:val="0"/>
        </w:rPr>
        <w:t>三、</w:t>
      </w:r>
      <w:r>
        <w:rPr>
          <w:rFonts w:hint="eastAsia" w:ascii="仿宋" w:hAnsi="仿宋" w:eastAsia="仿宋"/>
          <w:b w:val="0"/>
        </w:rPr>
        <w:t>支</w:t>
      </w:r>
      <w:r>
        <w:rPr>
          <w:rStyle w:val="31"/>
          <w:rFonts w:hint="eastAsia" w:ascii="仿宋" w:hAnsi="仿宋" w:eastAsia="仿宋"/>
          <w:b w:val="0"/>
          <w:bCs w:val="0"/>
        </w:rPr>
        <w:t>出决算表</w:t>
      </w:r>
      <w:bookmarkEnd w:id="76"/>
      <w:bookmarkEnd w:id="77"/>
    </w:p>
    <w:p>
      <w:pPr>
        <w:pStyle w:val="4"/>
        <w:rPr>
          <w:rFonts w:ascii="仿宋" w:hAnsi="仿宋" w:eastAsia="仿宋"/>
          <w:b w:val="0"/>
        </w:rPr>
      </w:pPr>
      <w:bookmarkStart w:id="78" w:name="_Toc15396622"/>
      <w:bookmarkStart w:id="79" w:name="_Toc9359"/>
      <w:r>
        <w:rPr>
          <w:rStyle w:val="31"/>
          <w:rFonts w:hint="eastAsia" w:ascii="仿宋" w:hAnsi="仿宋" w:eastAsia="仿宋"/>
          <w:b w:val="0"/>
          <w:bCs w:val="0"/>
        </w:rPr>
        <w:t>四、</w:t>
      </w:r>
      <w:r>
        <w:rPr>
          <w:rFonts w:hint="eastAsia" w:ascii="仿宋" w:hAnsi="仿宋" w:eastAsia="仿宋"/>
          <w:b w:val="0"/>
        </w:rPr>
        <w:t>财</w:t>
      </w:r>
      <w:r>
        <w:rPr>
          <w:rStyle w:val="31"/>
          <w:rFonts w:hint="eastAsia" w:ascii="仿宋" w:hAnsi="仿宋" w:eastAsia="仿宋"/>
          <w:b w:val="0"/>
          <w:bCs w:val="0"/>
        </w:rPr>
        <w:t>政拨款收入支出决算总表</w:t>
      </w:r>
      <w:bookmarkEnd w:id="78"/>
      <w:bookmarkEnd w:id="79"/>
    </w:p>
    <w:p>
      <w:pPr>
        <w:pStyle w:val="4"/>
        <w:rPr>
          <w:rStyle w:val="31"/>
          <w:rFonts w:ascii="仿宋" w:hAnsi="仿宋" w:eastAsia="仿宋"/>
          <w:b w:val="0"/>
          <w:bCs w:val="0"/>
        </w:rPr>
      </w:pPr>
      <w:bookmarkStart w:id="80" w:name="_Toc8431"/>
      <w:bookmarkStart w:id="81" w:name="_Toc15396623"/>
      <w:r>
        <w:rPr>
          <w:rStyle w:val="31"/>
          <w:rFonts w:hint="eastAsia" w:ascii="仿宋" w:hAnsi="仿宋" w:eastAsia="仿宋"/>
          <w:b w:val="0"/>
          <w:bCs w:val="0"/>
        </w:rPr>
        <w:t>五、</w:t>
      </w:r>
      <w:r>
        <w:rPr>
          <w:rFonts w:hint="eastAsia" w:ascii="仿宋" w:hAnsi="仿宋" w:eastAsia="仿宋"/>
          <w:b w:val="0"/>
        </w:rPr>
        <w:t>财</w:t>
      </w:r>
      <w:r>
        <w:rPr>
          <w:rStyle w:val="31"/>
          <w:rFonts w:hint="eastAsia" w:ascii="仿宋" w:hAnsi="仿宋" w:eastAsia="仿宋"/>
          <w:b w:val="0"/>
          <w:bCs w:val="0"/>
        </w:rPr>
        <w:t>政拨款支出决算明细表</w:t>
      </w:r>
      <w:bookmarkEnd w:id="80"/>
      <w:bookmarkEnd w:id="81"/>
      <w:bookmarkStart w:id="82" w:name="_Toc15396624"/>
    </w:p>
    <w:p>
      <w:pPr>
        <w:pStyle w:val="4"/>
        <w:rPr>
          <w:rFonts w:ascii="仿宋" w:hAnsi="仿宋" w:eastAsia="仿宋"/>
        </w:rPr>
      </w:pPr>
      <w:bookmarkStart w:id="83" w:name="_Toc18726"/>
      <w:r>
        <w:rPr>
          <w:rStyle w:val="31"/>
          <w:rFonts w:hint="eastAsia" w:ascii="仿宋" w:hAnsi="仿宋" w:eastAsia="仿宋"/>
          <w:b w:val="0"/>
          <w:bCs w:val="0"/>
        </w:rPr>
        <w:t>六、</w:t>
      </w:r>
      <w:r>
        <w:rPr>
          <w:rFonts w:hint="eastAsia" w:ascii="仿宋" w:hAnsi="仿宋" w:eastAsia="仿宋"/>
          <w:b w:val="0"/>
        </w:rPr>
        <w:t>一</w:t>
      </w:r>
      <w:r>
        <w:rPr>
          <w:rStyle w:val="31"/>
          <w:rFonts w:hint="eastAsia" w:ascii="仿宋" w:hAnsi="仿宋" w:eastAsia="仿宋"/>
          <w:b w:val="0"/>
          <w:bCs w:val="0"/>
        </w:rPr>
        <w:t>般公共预算财政拨款支出决算表</w:t>
      </w:r>
      <w:bookmarkEnd w:id="82"/>
      <w:bookmarkEnd w:id="83"/>
    </w:p>
    <w:p>
      <w:pPr>
        <w:pStyle w:val="4"/>
        <w:rPr>
          <w:rFonts w:ascii="仿宋" w:hAnsi="仿宋" w:eastAsia="仿宋"/>
        </w:rPr>
      </w:pPr>
      <w:bookmarkStart w:id="84" w:name="_Toc32682"/>
      <w:bookmarkStart w:id="85" w:name="_Toc15396625"/>
      <w:r>
        <w:rPr>
          <w:rStyle w:val="31"/>
          <w:rFonts w:hint="eastAsia" w:ascii="仿宋" w:hAnsi="仿宋" w:eastAsia="仿宋"/>
          <w:b w:val="0"/>
          <w:bCs w:val="0"/>
        </w:rPr>
        <w:t>七、</w:t>
      </w:r>
      <w:r>
        <w:rPr>
          <w:rFonts w:hint="eastAsia" w:ascii="仿宋" w:hAnsi="仿宋" w:eastAsia="仿宋"/>
          <w:b w:val="0"/>
        </w:rPr>
        <w:t>一</w:t>
      </w:r>
      <w:r>
        <w:rPr>
          <w:rStyle w:val="31"/>
          <w:rFonts w:hint="eastAsia" w:ascii="仿宋" w:hAnsi="仿宋" w:eastAsia="仿宋"/>
          <w:b w:val="0"/>
          <w:bCs w:val="0"/>
        </w:rPr>
        <w:t>般公共预算财政拨款支出决算明细表</w:t>
      </w:r>
      <w:bookmarkEnd w:id="84"/>
      <w:bookmarkEnd w:id="85"/>
    </w:p>
    <w:p>
      <w:pPr>
        <w:pStyle w:val="4"/>
        <w:rPr>
          <w:rFonts w:ascii="仿宋" w:hAnsi="仿宋" w:eastAsia="仿宋"/>
        </w:rPr>
      </w:pPr>
      <w:bookmarkStart w:id="86" w:name="_Toc30998"/>
      <w:bookmarkStart w:id="87" w:name="_Toc15396626"/>
      <w:r>
        <w:rPr>
          <w:rStyle w:val="31"/>
          <w:rFonts w:hint="eastAsia" w:ascii="仿宋" w:hAnsi="仿宋" w:eastAsia="仿宋"/>
          <w:b w:val="0"/>
          <w:bCs w:val="0"/>
        </w:rPr>
        <w:t>八、</w:t>
      </w:r>
      <w:r>
        <w:rPr>
          <w:rFonts w:hint="eastAsia" w:ascii="仿宋" w:hAnsi="仿宋" w:eastAsia="仿宋"/>
          <w:b w:val="0"/>
        </w:rPr>
        <w:t>一</w:t>
      </w:r>
      <w:r>
        <w:rPr>
          <w:rStyle w:val="31"/>
          <w:rFonts w:hint="eastAsia" w:ascii="仿宋" w:hAnsi="仿宋" w:eastAsia="仿宋"/>
          <w:b w:val="0"/>
          <w:bCs w:val="0"/>
        </w:rPr>
        <w:t>般公共预算财政拨款基本支出决算表</w:t>
      </w:r>
      <w:bookmarkEnd w:id="86"/>
      <w:bookmarkEnd w:id="87"/>
    </w:p>
    <w:p>
      <w:pPr>
        <w:pStyle w:val="4"/>
        <w:rPr>
          <w:rFonts w:ascii="仿宋" w:hAnsi="仿宋" w:eastAsia="仿宋"/>
        </w:rPr>
      </w:pPr>
      <w:bookmarkStart w:id="88" w:name="_Toc30361"/>
      <w:bookmarkStart w:id="89" w:name="_Toc15396627"/>
      <w:r>
        <w:rPr>
          <w:rStyle w:val="31"/>
          <w:rFonts w:hint="eastAsia" w:ascii="仿宋" w:hAnsi="仿宋" w:eastAsia="仿宋"/>
          <w:b w:val="0"/>
          <w:bCs w:val="0"/>
        </w:rPr>
        <w:t>九、</w:t>
      </w:r>
      <w:r>
        <w:rPr>
          <w:rFonts w:hint="eastAsia" w:ascii="仿宋" w:hAnsi="仿宋" w:eastAsia="仿宋"/>
          <w:b w:val="0"/>
        </w:rPr>
        <w:t>一</w:t>
      </w:r>
      <w:r>
        <w:rPr>
          <w:rStyle w:val="31"/>
          <w:rFonts w:hint="eastAsia" w:ascii="仿宋" w:hAnsi="仿宋" w:eastAsia="仿宋"/>
          <w:b w:val="0"/>
          <w:bCs w:val="0"/>
        </w:rPr>
        <w:t>般公共预算财政拨款项目支出决算表</w:t>
      </w:r>
      <w:bookmarkEnd w:id="88"/>
      <w:bookmarkEnd w:id="89"/>
    </w:p>
    <w:p>
      <w:pPr>
        <w:pStyle w:val="4"/>
        <w:rPr>
          <w:rFonts w:ascii="仿宋" w:hAnsi="仿宋" w:eastAsia="仿宋"/>
        </w:rPr>
      </w:pPr>
      <w:bookmarkStart w:id="90" w:name="_Toc15396629"/>
      <w:bookmarkStart w:id="91" w:name="_Toc27344"/>
      <w:r>
        <w:rPr>
          <w:rStyle w:val="31"/>
          <w:rFonts w:hint="eastAsia" w:ascii="仿宋" w:hAnsi="仿宋" w:eastAsia="仿宋"/>
          <w:b w:val="0"/>
          <w:bCs w:val="0"/>
        </w:rPr>
        <w:t>十、</w:t>
      </w:r>
      <w:r>
        <w:rPr>
          <w:rFonts w:hint="eastAsia" w:ascii="仿宋" w:hAnsi="仿宋" w:eastAsia="仿宋"/>
          <w:b w:val="0"/>
        </w:rPr>
        <w:t>政</w:t>
      </w:r>
      <w:r>
        <w:rPr>
          <w:rStyle w:val="31"/>
          <w:rFonts w:hint="eastAsia" w:ascii="仿宋" w:hAnsi="仿宋" w:eastAsia="仿宋"/>
          <w:b w:val="0"/>
          <w:bCs w:val="0"/>
        </w:rPr>
        <w:t>府性基金预算财政拨款收入支出决算表</w:t>
      </w:r>
      <w:bookmarkEnd w:id="90"/>
      <w:bookmarkEnd w:id="91"/>
    </w:p>
    <w:p>
      <w:pPr>
        <w:pStyle w:val="4"/>
        <w:rPr>
          <w:rStyle w:val="31"/>
          <w:rFonts w:ascii="仿宋" w:hAnsi="仿宋" w:eastAsia="仿宋"/>
          <w:b w:val="0"/>
          <w:bCs w:val="0"/>
        </w:rPr>
      </w:pPr>
      <w:bookmarkStart w:id="92" w:name="_Toc2454"/>
      <w:bookmarkStart w:id="93" w:name="_Toc15396631"/>
      <w:r>
        <w:rPr>
          <w:rStyle w:val="31"/>
          <w:rFonts w:hint="eastAsia" w:ascii="仿宋" w:hAnsi="仿宋" w:eastAsia="仿宋"/>
          <w:b w:val="0"/>
          <w:bCs w:val="0"/>
        </w:rPr>
        <w:t>十一、</w:t>
      </w:r>
      <w:r>
        <w:rPr>
          <w:rFonts w:hint="eastAsia" w:ascii="仿宋" w:hAnsi="仿宋" w:eastAsia="仿宋"/>
          <w:b w:val="0"/>
        </w:rPr>
        <w:t>国</w:t>
      </w:r>
      <w:r>
        <w:rPr>
          <w:rStyle w:val="31"/>
          <w:rFonts w:hint="eastAsia" w:ascii="仿宋" w:hAnsi="仿宋" w:eastAsia="仿宋"/>
          <w:b w:val="0"/>
          <w:bCs w:val="0"/>
        </w:rPr>
        <w:t>有资本经营预算财政拨款收入支出决算表</w:t>
      </w:r>
      <w:bookmarkEnd w:id="92"/>
      <w:bookmarkEnd w:id="93"/>
    </w:p>
    <w:p>
      <w:pPr>
        <w:rPr>
          <w:rStyle w:val="31"/>
          <w:rFonts w:ascii="仿宋" w:hAnsi="仿宋" w:eastAsia="仿宋"/>
          <w:b w:val="0"/>
          <w:bCs w:val="0"/>
        </w:rPr>
      </w:pPr>
      <w:bookmarkStart w:id="94" w:name="_Toc5658"/>
      <w:r>
        <w:rPr>
          <w:rStyle w:val="31"/>
          <w:rFonts w:hint="eastAsia" w:ascii="仿宋" w:hAnsi="仿宋" w:eastAsia="仿宋"/>
          <w:b w:val="0"/>
          <w:bCs w:val="0"/>
        </w:rPr>
        <w:t>十二、国有资本经营预算财政拨款支出决算表</w:t>
      </w:r>
      <w:bookmarkEnd w:id="94"/>
    </w:p>
    <w:p>
      <w:pPr>
        <w:pStyle w:val="4"/>
        <w:rPr>
          <w:rStyle w:val="31"/>
          <w:rFonts w:ascii="仿宋" w:hAnsi="仿宋" w:eastAsia="仿宋"/>
          <w:b w:val="0"/>
          <w:bCs w:val="0"/>
        </w:rPr>
      </w:pPr>
      <w:r>
        <w:fldChar w:fldCharType="begin"/>
      </w:r>
      <w:r>
        <w:instrText xml:space="preserve"> HYPERLINK \l "_Toc5658" </w:instrText>
      </w:r>
      <w:r>
        <w:fldChar w:fldCharType="separate"/>
      </w:r>
      <w:r>
        <w:rPr>
          <w:rStyle w:val="31"/>
          <w:rFonts w:hint="eastAsia" w:ascii="仿宋" w:hAnsi="仿宋" w:eastAsia="仿宋"/>
          <w:b w:val="0"/>
          <w:bCs w:val="0"/>
        </w:rPr>
        <w:t>十三、财政拨款“三公”经费支出决算表</w:t>
      </w:r>
      <w:r>
        <w:rPr>
          <w:rStyle w:val="31"/>
          <w:rFonts w:hint="eastAsia" w:ascii="仿宋" w:hAnsi="仿宋" w:eastAsia="仿宋"/>
          <w:b w:val="0"/>
          <w:bCs w:val="0"/>
        </w:rPr>
        <w:tab/>
      </w:r>
      <w:r>
        <w:rPr>
          <w:rStyle w:val="31"/>
          <w:rFonts w:hint="eastAsia" w:ascii="仿宋" w:hAnsi="仿宋" w:eastAsia="仿宋"/>
          <w:b w:val="0"/>
          <w:bCs w:val="0"/>
        </w:rPr>
        <w:fldChar w:fldCharType="end"/>
      </w:r>
    </w:p>
    <w:sectPr>
      <w:footerReference r:id="rId9" w:type="first"/>
      <w:footerReference r:id="rId8" w:type="default"/>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40001" w:csb1="00000000"/>
  </w:font>
  <w:font w:name="方正小标宋简体">
    <w:panose1 w:val="02000000000000000000"/>
    <w:charset w:val="86"/>
    <w:family w:val="script"/>
    <w:pitch w:val="default"/>
    <w:sig w:usb0="A00002BF" w:usb1="184F6CFA" w:usb2="00000012" w:usb3="00000000" w:csb0="00040001" w:csb1="00000000"/>
  </w:font>
  <w:font w:name="微软雅黑">
    <w:panose1 w:val="020B0503020204020204"/>
    <w:charset w:val="86"/>
    <w:family w:val="swiss"/>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Book Antiqua">
    <w:panose1 w:val="02040602050305030304"/>
    <w:charset w:val="00"/>
    <w:family w:val="auto"/>
    <w:pitch w:val="default"/>
    <w:sig w:usb0="00000287" w:usb1="00000000" w:usb2="00000000" w:usb3="00000000" w:csb0="2000009F" w:csb1="DFD70000"/>
  </w:font>
  <w:font w:name="文泉驿微米黑">
    <w:panose1 w:val="020B0606030804020204"/>
    <w:charset w:val="86"/>
    <w:family w:val="auto"/>
    <w:pitch w:val="default"/>
    <w:sig w:usb0="E10002EF" w:usb1="6BDFFCFB" w:usb2="00800036" w:usb3="00000000" w:csb0="603E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left" w:pos="4717"/>
        <w:tab w:val="clear" w:pos="4153"/>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pict>
        <v:shape id="_x0000_s2051" o:spid="_x0000_s2051" o:spt="202" type="#_x0000_t202" style="position:absolute;left:0pt;margin-top:0pt;height:144pt;width:144pt;mso-position-horizontal:center;mso-position-horizontal-relative:margin;mso-wrap-style:none;z-index:25166643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WAAAAZHJzL1BLAQIUABQA&#10;AAAIAIdO4kDOqXm5zwAAAAUBAAAPAAAAAAAAAAEAIAAAADgAAABkcnMvZG93bnJldi54bWxQSwEC&#10;FAAUAAAACACHTuJAMfw5O64BAABLAwAADgAAAAAAAAABACAAAAA0AQAAZHJzL2Uyb0RvYy54bWxQ&#10;SwUGAAAAAAYABgBZAQAAVAUAAAAA&#10;">
          <v:path/>
          <v:fill on="f" focussize="0,0"/>
          <v:stroke on="f" joinstyle="miter"/>
          <v:imagedata o:title=""/>
          <o:lock v:ext="edit"/>
          <v:textbox inset="0mm,0mm,0mm,0mm" style="mso-fit-shape-to-text:t;">
            <w:txbxContent>
              <w:sdt>
                <w:sdtPr>
                  <w:id w:val="147483519"/>
                </w:sdtPr>
                <w:sdtContent>
                  <w:p>
                    <w:pPr>
                      <w:pStyle w:val="11"/>
                      <w:jc w:val="center"/>
                    </w:pPr>
                    <w:r>
                      <w:fldChar w:fldCharType="begin"/>
                    </w:r>
                    <w:r>
                      <w:instrText xml:space="preserve">PAGE   \* MERGEFORMAT</w:instrText>
                    </w:r>
                    <w:r>
                      <w:fldChar w:fldCharType="separate"/>
                    </w:r>
                    <w:r>
                      <w:rPr>
                        <w:lang w:val="zh-CN"/>
                      </w:rPr>
                      <w:t>43</w:t>
                    </w:r>
                    <w:r>
                      <w:fldChar w:fldCharType="end"/>
                    </w:r>
                  </w:p>
                </w:sdtContent>
              </w:sdt>
              <w:p>
                <w:pPr>
                  <w:pStyle w:val="4"/>
                </w:pPr>
              </w:p>
            </w:txbxContent>
          </v:textbox>
        </v:shape>
      </w:pict>
    </w:r>
  </w:p>
  <w:p>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left" w:pos="4717"/>
        <w:tab w:val="clear" w:pos="4153"/>
      </w:tabs>
    </w:pPr>
    <w:r>
      <w:pict>
        <v:shape id="_x0000_s2052" o:spid="_x0000_s2052" o:spt="202" type="#_x0000_t202" style="position:absolute;left:0pt;margin-top:0pt;height:144pt;width:144pt;mso-position-horizontal:center;mso-position-horizontal-relative:margin;mso-wrap-style:none;z-index:251667456;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WAAAAZHJzL1BLAQIUABQA&#10;AAAIAIdO4kDOqXm5zwAAAAUBAAAPAAAAAAAAAAEAIAAAADgAAABkcnMvZG93bnJldi54bWxQSwEC&#10;FAAUAAAACACHTuJAIVfgY64BAABLAwAADgAAAAAAAAABACAAAAA0AQAAZHJzL2Uyb0RvYy54bWxQ&#10;SwUGAAAAAAYABgBZAQAAVAUAAAAA&#10;">
          <v:path/>
          <v:fill on="f" focussize="0,0"/>
          <v:stroke on="f" joinstyle="miter"/>
          <v:imagedata o:title=""/>
          <o:lock v:ext="edit"/>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pict>
        <v:shape id="文本框 5" o:spid="_x0000_s2049" o:spt="202" type="#_x0000_t202" style="position:absolute;left:0pt;margin-top:0pt;height:144pt;width:144pt;mso-position-horizontal:center;mso-position-horizontal-relative:margin;mso-wrap-style:none;z-index:25166438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FgAAAGRycy9QSwECFAAU&#10;AAAACACHTuJAzql5uc8AAAAFAQAADwAAAAAAAAABACAAAAA4AAAAZHJzL2Rvd25yZXYueG1sUEsB&#10;AhQAFAAAAAgAh07iQBc0YdGvAQAASwMAAA4AAAAAAAAAAQAgAAAANAEAAGRycy9lMm9Eb2MueG1s&#10;UEsFBgAAAAAGAAYAWQEAAFUFAAAAAA==&#10;">
          <v:path/>
          <v:fill on="f" focussize="0,0"/>
          <v:stroke on="f" joinstyle="miter"/>
          <v:imagedata o:title=""/>
          <o:lock v:ext="edit"/>
          <v:textbox inset="0mm,0mm,0mm,0mm" style="mso-fit-shape-to-text:t;">
            <w:txbxContent>
              <w:sdt>
                <w:sdtPr>
                  <w:id w:val="147456675"/>
                </w:sdtPr>
                <w:sdtContent>
                  <w:p>
                    <w:pPr>
                      <w:pStyle w:val="11"/>
                      <w:jc w:val="center"/>
                    </w:pPr>
                    <w:r>
                      <w:fldChar w:fldCharType="begin"/>
                    </w:r>
                    <w:r>
                      <w:instrText xml:space="preserve">PAGE   \* MERGEFORMAT</w:instrText>
                    </w:r>
                    <w:r>
                      <w:fldChar w:fldCharType="separate"/>
                    </w:r>
                    <w:r>
                      <w:rPr>
                        <w:lang w:val="zh-CN"/>
                      </w:rPr>
                      <w:t>8</w:t>
                    </w:r>
                    <w:r>
                      <w:fldChar w:fldCharType="end"/>
                    </w:r>
                  </w:p>
                </w:sdtContent>
              </w:sdt>
              <w:p>
                <w:pPr>
                  <w:pStyle w:val="4"/>
                </w:pPr>
              </w:p>
            </w:txbxContent>
          </v:textbox>
        </v:shape>
      </w:pict>
    </w:r>
  </w:p>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left" w:pos="4717"/>
        <w:tab w:val="clear" w:pos="4153"/>
      </w:tabs>
    </w:pPr>
    <w:r>
      <w:pict>
        <v:shape id="文本框 6" o:spid="_x0000_s2050" o:spt="202" type="#_x0000_t202" style="position:absolute;left:0pt;margin-top:0pt;height:144pt;width:144pt;mso-position-horizontal:center;mso-position-horizontal-relative:margin;mso-wrap-style:none;z-index:25166540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WAAAAZHJzL1BLAQIUABQA&#10;AAAIAIdO4kDOqXm5zwAAAAUBAAAPAAAAAAAAAAEAIAAAADgAAABkcnMvZG93bnJldi54bWxQSwEC&#10;FAAUAAAACACHTuJAwxAoOq4BAABLAwAADgAAAAAAAAABACAAAAA0AQAAZHJzL2Uyb0RvYy54bWxQ&#10;SwUGAAAAAAYABgBZAQAAVAUAAAAA&#10;">
          <v:path/>
          <v:fill on="f" focussize="0,0"/>
          <v:stroke on="f" joinstyle="miter"/>
          <v:imagedata o:title=""/>
          <o:lock v:ext="edit"/>
          <v:textbox inset="0mm,0mm,0mm,0mm" style="mso-fit-shape-to-text:t;">
            <w:txbxContent>
              <w:p>
                <w:pPr>
                  <w:pStyle w:val="11"/>
                </w:pPr>
                <w:r>
                  <w:fldChar w:fldCharType="begin"/>
                </w:r>
                <w:r>
                  <w:instrText xml:space="preserve"> PAGE  \* MERGEFORMAT </w:instrText>
                </w:r>
                <w:r>
                  <w:fldChar w:fldCharType="separate"/>
                </w:r>
                <w:r>
                  <w:t>44</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38FBCF"/>
    <w:multiLevelType w:val="singleLevel"/>
    <w:tmpl w:val="9838FBCF"/>
    <w:lvl w:ilvl="0" w:tentative="0">
      <w:start w:val="1"/>
      <w:numFmt w:val="decimal"/>
      <w:lvlText w:val="%1."/>
      <w:lvlJc w:val="left"/>
      <w:pPr>
        <w:tabs>
          <w:tab w:val="left" w:pos="312"/>
        </w:tabs>
      </w:pPr>
    </w:lvl>
  </w:abstractNum>
  <w:abstractNum w:abstractNumId="1">
    <w:nsid w:val="9E5FCD0B"/>
    <w:multiLevelType w:val="singleLevel"/>
    <w:tmpl w:val="9E5FCD0B"/>
    <w:lvl w:ilvl="0" w:tentative="0">
      <w:start w:val="2"/>
      <w:numFmt w:val="chineseCounting"/>
      <w:suff w:val="nothing"/>
      <w:lvlText w:val="（%1）"/>
      <w:lvlJc w:val="left"/>
      <w:rPr>
        <w:rFonts w:hint="eastAsia"/>
      </w:rPr>
    </w:lvl>
  </w:abstractNum>
  <w:abstractNum w:abstractNumId="2">
    <w:nsid w:val="B6758440"/>
    <w:multiLevelType w:val="singleLevel"/>
    <w:tmpl w:val="B6758440"/>
    <w:lvl w:ilvl="0" w:tentative="0">
      <w:start w:val="2"/>
      <w:numFmt w:val="chineseCounting"/>
      <w:suff w:val="nothing"/>
      <w:lvlText w:val="（%1）"/>
      <w:lvlJc w:val="left"/>
      <w:rPr>
        <w:rFonts w:hint="eastAsia"/>
      </w:rPr>
    </w:lvl>
  </w:abstractNum>
  <w:abstractNum w:abstractNumId="3">
    <w:nsid w:val="BFBD2B01"/>
    <w:multiLevelType w:val="singleLevel"/>
    <w:tmpl w:val="BFBD2B01"/>
    <w:lvl w:ilvl="0" w:tentative="0">
      <w:start w:val="3"/>
      <w:numFmt w:val="decimal"/>
      <w:lvlText w:val="%1."/>
      <w:lvlJc w:val="left"/>
      <w:pPr>
        <w:tabs>
          <w:tab w:val="left" w:pos="312"/>
        </w:tabs>
      </w:pPr>
    </w:lvl>
  </w:abstractNum>
  <w:abstractNum w:abstractNumId="4">
    <w:nsid w:val="CF652CEC"/>
    <w:multiLevelType w:val="singleLevel"/>
    <w:tmpl w:val="CF652CEC"/>
    <w:lvl w:ilvl="0" w:tentative="0">
      <w:start w:val="9"/>
      <w:numFmt w:val="chineseCounting"/>
      <w:suff w:val="nothing"/>
      <w:lvlText w:val="%1、"/>
      <w:lvlJc w:val="left"/>
      <w:rPr>
        <w:rFonts w:hint="eastAsia"/>
      </w:rPr>
    </w:lvl>
  </w:abstractNum>
  <w:abstractNum w:abstractNumId="5">
    <w:nsid w:val="DFBFA7E5"/>
    <w:multiLevelType w:val="singleLevel"/>
    <w:tmpl w:val="DFBFA7E5"/>
    <w:lvl w:ilvl="0" w:tentative="0">
      <w:start w:val="2"/>
      <w:numFmt w:val="chineseCounting"/>
      <w:suff w:val="nothing"/>
      <w:lvlText w:val="（%1）"/>
      <w:lvlJc w:val="left"/>
      <w:rPr>
        <w:rFonts w:hint="eastAsia"/>
      </w:rPr>
    </w:lvl>
  </w:abstractNum>
  <w:abstractNum w:abstractNumId="6">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7">
    <w:nsid w:val="EDBB39D8"/>
    <w:multiLevelType w:val="singleLevel"/>
    <w:tmpl w:val="EDBB39D8"/>
    <w:lvl w:ilvl="0" w:tentative="0">
      <w:start w:val="1"/>
      <w:numFmt w:val="chineseCounting"/>
      <w:suff w:val="nothing"/>
      <w:lvlText w:val="%1、"/>
      <w:lvlJc w:val="left"/>
      <w:rPr>
        <w:rFonts w:hint="eastAsia"/>
      </w:rPr>
    </w:lvl>
  </w:abstractNum>
  <w:abstractNum w:abstractNumId="8">
    <w:nsid w:val="EFCEF566"/>
    <w:multiLevelType w:val="singleLevel"/>
    <w:tmpl w:val="EFCEF566"/>
    <w:lvl w:ilvl="0" w:tentative="0">
      <w:start w:val="1"/>
      <w:numFmt w:val="decimal"/>
      <w:lvlText w:val="%1."/>
      <w:lvlJc w:val="left"/>
      <w:pPr>
        <w:tabs>
          <w:tab w:val="left" w:pos="312"/>
        </w:tabs>
      </w:pPr>
    </w:lvl>
  </w:abstractNum>
  <w:abstractNum w:abstractNumId="9">
    <w:nsid w:val="FDE77178"/>
    <w:multiLevelType w:val="singleLevel"/>
    <w:tmpl w:val="FDE77178"/>
    <w:lvl w:ilvl="0" w:tentative="0">
      <w:start w:val="2"/>
      <w:numFmt w:val="decimal"/>
      <w:suff w:val="nothing"/>
      <w:lvlText w:val="（%1）"/>
      <w:lvlJc w:val="left"/>
    </w:lvl>
  </w:abstractNum>
  <w:abstractNum w:abstractNumId="10">
    <w:nsid w:val="27FDC044"/>
    <w:multiLevelType w:val="singleLevel"/>
    <w:tmpl w:val="27FDC044"/>
    <w:lvl w:ilvl="0" w:tentative="0">
      <w:start w:val="2"/>
      <w:numFmt w:val="decimal"/>
      <w:suff w:val="nothing"/>
      <w:lvlText w:val="（%1）"/>
      <w:lvlJc w:val="left"/>
    </w:lvl>
  </w:abstractNum>
  <w:abstractNum w:abstractNumId="11">
    <w:nsid w:val="77AF22A2"/>
    <w:multiLevelType w:val="singleLevel"/>
    <w:tmpl w:val="77AF22A2"/>
    <w:lvl w:ilvl="0" w:tentative="0">
      <w:start w:val="1"/>
      <w:numFmt w:val="decimal"/>
      <w:suff w:val="space"/>
      <w:lvlText w:val="%1."/>
      <w:lvlJc w:val="left"/>
    </w:lvl>
  </w:abstractNum>
  <w:num w:numId="1">
    <w:abstractNumId w:val="7"/>
  </w:num>
  <w:num w:numId="2">
    <w:abstractNumId w:val="0"/>
  </w:num>
  <w:num w:numId="3">
    <w:abstractNumId w:val="3"/>
  </w:num>
  <w:num w:numId="4">
    <w:abstractNumId w:val="4"/>
  </w:num>
  <w:num w:numId="5">
    <w:abstractNumId w:val="6"/>
  </w:num>
  <w:num w:numId="6">
    <w:abstractNumId w:val="5"/>
  </w:num>
  <w:num w:numId="7">
    <w:abstractNumId w:val="8"/>
  </w:num>
  <w:num w:numId="8">
    <w:abstractNumId w:val="10"/>
  </w:num>
  <w:num w:numId="9">
    <w:abstractNumId w:val="9"/>
  </w:num>
  <w:num w:numId="10">
    <w:abstractNumId w:val="1"/>
  </w:num>
  <w:num w:numId="11">
    <w:abstractNumId w:val="2"/>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WMyNzM4NTFhYTMzNTQxNjAyYjBjOTQ2YTc2ZTQ1N2MifQ=="/>
  </w:docVars>
  <w:rsids>
    <w:rsidRoot w:val="00172A27"/>
    <w:rsid w:val="000222C6"/>
    <w:rsid w:val="0002549F"/>
    <w:rsid w:val="000468DB"/>
    <w:rsid w:val="0006487A"/>
    <w:rsid w:val="00065F8F"/>
    <w:rsid w:val="00070A43"/>
    <w:rsid w:val="000768F2"/>
    <w:rsid w:val="000858BB"/>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2A27"/>
    <w:rsid w:val="00174518"/>
    <w:rsid w:val="0018106D"/>
    <w:rsid w:val="001877A7"/>
    <w:rsid w:val="00191536"/>
    <w:rsid w:val="00196687"/>
    <w:rsid w:val="001B0B9B"/>
    <w:rsid w:val="001C0962"/>
    <w:rsid w:val="001D7531"/>
    <w:rsid w:val="001E737D"/>
    <w:rsid w:val="001F0592"/>
    <w:rsid w:val="001F7506"/>
    <w:rsid w:val="002003BF"/>
    <w:rsid w:val="002006CD"/>
    <w:rsid w:val="00202B36"/>
    <w:rsid w:val="00204B7A"/>
    <w:rsid w:val="00204CDE"/>
    <w:rsid w:val="0021101A"/>
    <w:rsid w:val="00220536"/>
    <w:rsid w:val="00235629"/>
    <w:rsid w:val="00245F23"/>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4778B"/>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E52D8"/>
    <w:rsid w:val="006F020C"/>
    <w:rsid w:val="007127B7"/>
    <w:rsid w:val="00714240"/>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13B05"/>
    <w:rsid w:val="008253BB"/>
    <w:rsid w:val="0083706E"/>
    <w:rsid w:val="008408F6"/>
    <w:rsid w:val="008423A5"/>
    <w:rsid w:val="00850625"/>
    <w:rsid w:val="00853718"/>
    <w:rsid w:val="00855221"/>
    <w:rsid w:val="00860645"/>
    <w:rsid w:val="00864054"/>
    <w:rsid w:val="00871F71"/>
    <w:rsid w:val="00872FD8"/>
    <w:rsid w:val="00885AF4"/>
    <w:rsid w:val="008903C7"/>
    <w:rsid w:val="008939CD"/>
    <w:rsid w:val="008B768C"/>
    <w:rsid w:val="008C4DB1"/>
    <w:rsid w:val="008C4EAF"/>
    <w:rsid w:val="008C5176"/>
    <w:rsid w:val="008C7FD0"/>
    <w:rsid w:val="008E1DE7"/>
    <w:rsid w:val="008E707C"/>
    <w:rsid w:val="008F32F3"/>
    <w:rsid w:val="00900B08"/>
    <w:rsid w:val="00902155"/>
    <w:rsid w:val="00902FA3"/>
    <w:rsid w:val="00923564"/>
    <w:rsid w:val="0092392E"/>
    <w:rsid w:val="009315F9"/>
    <w:rsid w:val="00933499"/>
    <w:rsid w:val="00935C98"/>
    <w:rsid w:val="00946945"/>
    <w:rsid w:val="00951248"/>
    <w:rsid w:val="0095152F"/>
    <w:rsid w:val="00954C49"/>
    <w:rsid w:val="00955E37"/>
    <w:rsid w:val="0095746C"/>
    <w:rsid w:val="0097099F"/>
    <w:rsid w:val="00971997"/>
    <w:rsid w:val="00971FFC"/>
    <w:rsid w:val="00980452"/>
    <w:rsid w:val="0098660A"/>
    <w:rsid w:val="0099008B"/>
    <w:rsid w:val="009931C3"/>
    <w:rsid w:val="009B2C43"/>
    <w:rsid w:val="009B4EAE"/>
    <w:rsid w:val="009B5417"/>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AE3F43"/>
    <w:rsid w:val="00B03C9D"/>
    <w:rsid w:val="00B060AE"/>
    <w:rsid w:val="00B10517"/>
    <w:rsid w:val="00B14E76"/>
    <w:rsid w:val="00B161B8"/>
    <w:rsid w:val="00B16BA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A8F"/>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C6530"/>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37DC4"/>
    <w:rsid w:val="00F417B1"/>
    <w:rsid w:val="00F45853"/>
    <w:rsid w:val="00F602DF"/>
    <w:rsid w:val="00F754A1"/>
    <w:rsid w:val="00F81FD9"/>
    <w:rsid w:val="00F841AA"/>
    <w:rsid w:val="00F84A94"/>
    <w:rsid w:val="00F87E96"/>
    <w:rsid w:val="00FA23E8"/>
    <w:rsid w:val="00FD3CC1"/>
    <w:rsid w:val="00FF1E02"/>
    <w:rsid w:val="00FF30B4"/>
    <w:rsid w:val="015C6870"/>
    <w:rsid w:val="01D7001D"/>
    <w:rsid w:val="020F7E89"/>
    <w:rsid w:val="021D04ED"/>
    <w:rsid w:val="02331ABF"/>
    <w:rsid w:val="045C7160"/>
    <w:rsid w:val="06DA075B"/>
    <w:rsid w:val="09166354"/>
    <w:rsid w:val="09BC683E"/>
    <w:rsid w:val="0A2032A3"/>
    <w:rsid w:val="0B8A37D8"/>
    <w:rsid w:val="0BAFD652"/>
    <w:rsid w:val="0C0A55F7"/>
    <w:rsid w:val="0CA050B2"/>
    <w:rsid w:val="0D5D663C"/>
    <w:rsid w:val="0DB25F8E"/>
    <w:rsid w:val="0FDF163F"/>
    <w:rsid w:val="0FE75971"/>
    <w:rsid w:val="10046849"/>
    <w:rsid w:val="10C055FF"/>
    <w:rsid w:val="111B209C"/>
    <w:rsid w:val="118107EC"/>
    <w:rsid w:val="119105B0"/>
    <w:rsid w:val="11DD6519"/>
    <w:rsid w:val="122D2087"/>
    <w:rsid w:val="12AF0685"/>
    <w:rsid w:val="13B14F39"/>
    <w:rsid w:val="14C60571"/>
    <w:rsid w:val="151077C4"/>
    <w:rsid w:val="16BB723D"/>
    <w:rsid w:val="17FC1FC7"/>
    <w:rsid w:val="18015F3F"/>
    <w:rsid w:val="187172DA"/>
    <w:rsid w:val="19F811CC"/>
    <w:rsid w:val="1A794857"/>
    <w:rsid w:val="1BE8440E"/>
    <w:rsid w:val="1D155CEE"/>
    <w:rsid w:val="1E4D6F06"/>
    <w:rsid w:val="1EE305C4"/>
    <w:rsid w:val="1F7C2832"/>
    <w:rsid w:val="1F7F19A3"/>
    <w:rsid w:val="20DE0C92"/>
    <w:rsid w:val="20F57F95"/>
    <w:rsid w:val="2222304F"/>
    <w:rsid w:val="227855A0"/>
    <w:rsid w:val="240371BF"/>
    <w:rsid w:val="245F4E76"/>
    <w:rsid w:val="24EE15B7"/>
    <w:rsid w:val="25C741E6"/>
    <w:rsid w:val="27207172"/>
    <w:rsid w:val="27842671"/>
    <w:rsid w:val="29FD04D3"/>
    <w:rsid w:val="2AAB6A47"/>
    <w:rsid w:val="2ABE7A3E"/>
    <w:rsid w:val="2B422792"/>
    <w:rsid w:val="2B4347D1"/>
    <w:rsid w:val="2B8B3E64"/>
    <w:rsid w:val="2EFA178C"/>
    <w:rsid w:val="2FD50B34"/>
    <w:rsid w:val="30B46D73"/>
    <w:rsid w:val="312E5178"/>
    <w:rsid w:val="317436E3"/>
    <w:rsid w:val="319F7F4E"/>
    <w:rsid w:val="34254E5C"/>
    <w:rsid w:val="35F5350F"/>
    <w:rsid w:val="3774579F"/>
    <w:rsid w:val="37FF2D2F"/>
    <w:rsid w:val="38481C16"/>
    <w:rsid w:val="38D940EC"/>
    <w:rsid w:val="39AE70AB"/>
    <w:rsid w:val="39F257E0"/>
    <w:rsid w:val="3A7DC936"/>
    <w:rsid w:val="3ADF5AEB"/>
    <w:rsid w:val="3AFD9D7F"/>
    <w:rsid w:val="3B934DA1"/>
    <w:rsid w:val="3C0C0783"/>
    <w:rsid w:val="3C222973"/>
    <w:rsid w:val="3CFE0608"/>
    <w:rsid w:val="3D67E033"/>
    <w:rsid w:val="3D9077EA"/>
    <w:rsid w:val="3E6E73FF"/>
    <w:rsid w:val="3E9F1DFB"/>
    <w:rsid w:val="3EDB5755"/>
    <w:rsid w:val="3EEC6CA2"/>
    <w:rsid w:val="3F9F3A96"/>
    <w:rsid w:val="3F9FA90B"/>
    <w:rsid w:val="413E6834"/>
    <w:rsid w:val="41EC7B1B"/>
    <w:rsid w:val="4377C463"/>
    <w:rsid w:val="443D1D4E"/>
    <w:rsid w:val="45830AC6"/>
    <w:rsid w:val="471C0D00"/>
    <w:rsid w:val="47FCD485"/>
    <w:rsid w:val="4935FA93"/>
    <w:rsid w:val="493C27E9"/>
    <w:rsid w:val="496F39ED"/>
    <w:rsid w:val="49FF41D3"/>
    <w:rsid w:val="4A304834"/>
    <w:rsid w:val="4B441C14"/>
    <w:rsid w:val="4BE068DB"/>
    <w:rsid w:val="4BF6002B"/>
    <w:rsid w:val="4C082766"/>
    <w:rsid w:val="4CC6335E"/>
    <w:rsid w:val="4D405BBF"/>
    <w:rsid w:val="4DC25072"/>
    <w:rsid w:val="4E4D5EB0"/>
    <w:rsid w:val="4EBC7D13"/>
    <w:rsid w:val="4ECE2238"/>
    <w:rsid w:val="4FDE367F"/>
    <w:rsid w:val="517D4F89"/>
    <w:rsid w:val="51DB4B86"/>
    <w:rsid w:val="53B13BBE"/>
    <w:rsid w:val="54AE760C"/>
    <w:rsid w:val="55333C3E"/>
    <w:rsid w:val="57747D3E"/>
    <w:rsid w:val="57DF519E"/>
    <w:rsid w:val="57F39C5F"/>
    <w:rsid w:val="58433E88"/>
    <w:rsid w:val="5999312B"/>
    <w:rsid w:val="5A5A07C9"/>
    <w:rsid w:val="5B116A29"/>
    <w:rsid w:val="5BFFCC80"/>
    <w:rsid w:val="5D101956"/>
    <w:rsid w:val="5ED25280"/>
    <w:rsid w:val="5FF50A48"/>
    <w:rsid w:val="5FF96889"/>
    <w:rsid w:val="608D0230"/>
    <w:rsid w:val="615E012A"/>
    <w:rsid w:val="61B21850"/>
    <w:rsid w:val="64CA39A1"/>
    <w:rsid w:val="64DB4F3F"/>
    <w:rsid w:val="65885998"/>
    <w:rsid w:val="66EE52D9"/>
    <w:rsid w:val="67DE7597"/>
    <w:rsid w:val="69991C20"/>
    <w:rsid w:val="69BFC38E"/>
    <w:rsid w:val="6A3526C4"/>
    <w:rsid w:val="6A356EA0"/>
    <w:rsid w:val="6B274091"/>
    <w:rsid w:val="6B554C80"/>
    <w:rsid w:val="6C4A05C8"/>
    <w:rsid w:val="6CDB5DB1"/>
    <w:rsid w:val="6EBE5ACD"/>
    <w:rsid w:val="6F7778CD"/>
    <w:rsid w:val="6FD8EF7F"/>
    <w:rsid w:val="6FFFB68D"/>
    <w:rsid w:val="71C40718"/>
    <w:rsid w:val="725FE648"/>
    <w:rsid w:val="72734D90"/>
    <w:rsid w:val="746C4103"/>
    <w:rsid w:val="74942A15"/>
    <w:rsid w:val="74E94CD5"/>
    <w:rsid w:val="75B8644D"/>
    <w:rsid w:val="75CF62C2"/>
    <w:rsid w:val="76B02E74"/>
    <w:rsid w:val="76B270C0"/>
    <w:rsid w:val="76CF3B8F"/>
    <w:rsid w:val="770C4A7D"/>
    <w:rsid w:val="7725C9D7"/>
    <w:rsid w:val="77E31BB3"/>
    <w:rsid w:val="78FC6B3B"/>
    <w:rsid w:val="79CC54C0"/>
    <w:rsid w:val="79E7B28D"/>
    <w:rsid w:val="7B8B3473"/>
    <w:rsid w:val="7BB24EF6"/>
    <w:rsid w:val="7BF9FBFA"/>
    <w:rsid w:val="7C7D7BFB"/>
    <w:rsid w:val="7CD5F8B9"/>
    <w:rsid w:val="7CFF1F86"/>
    <w:rsid w:val="7D0F3219"/>
    <w:rsid w:val="7D23720A"/>
    <w:rsid w:val="7D7EA5FE"/>
    <w:rsid w:val="7E422E10"/>
    <w:rsid w:val="7E7D04B4"/>
    <w:rsid w:val="7ED0540C"/>
    <w:rsid w:val="7F57786E"/>
    <w:rsid w:val="7F578C0D"/>
    <w:rsid w:val="7F69E6A7"/>
    <w:rsid w:val="7F796405"/>
    <w:rsid w:val="7F8B26D9"/>
    <w:rsid w:val="7F9F20EE"/>
    <w:rsid w:val="7FC30A0D"/>
    <w:rsid w:val="7FFAD042"/>
    <w:rsid w:val="7FFB9819"/>
    <w:rsid w:val="7FFF48E9"/>
    <w:rsid w:val="7FFFCDF4"/>
    <w:rsid w:val="7FFFEAEE"/>
    <w:rsid w:val="81FDCED3"/>
    <w:rsid w:val="95FD3685"/>
    <w:rsid w:val="9E3A10E2"/>
    <w:rsid w:val="9EF6018B"/>
    <w:rsid w:val="A7CD9515"/>
    <w:rsid w:val="A7FAAEC2"/>
    <w:rsid w:val="AB7DDEE2"/>
    <w:rsid w:val="B5F69A14"/>
    <w:rsid w:val="BBB7F0C6"/>
    <w:rsid w:val="BBFF3B4A"/>
    <w:rsid w:val="BE7F690A"/>
    <w:rsid w:val="BFBF3E98"/>
    <w:rsid w:val="BFDE2903"/>
    <w:rsid w:val="BFFFDFE3"/>
    <w:rsid w:val="C59D460E"/>
    <w:rsid w:val="C9EC2A83"/>
    <w:rsid w:val="D3F919AC"/>
    <w:rsid w:val="D71F0048"/>
    <w:rsid w:val="D7FF599C"/>
    <w:rsid w:val="D94ABA47"/>
    <w:rsid w:val="DB3960F4"/>
    <w:rsid w:val="DBBEADF0"/>
    <w:rsid w:val="DF5DF5C4"/>
    <w:rsid w:val="DFDFFD35"/>
    <w:rsid w:val="DFF6BBDF"/>
    <w:rsid w:val="E6E3A990"/>
    <w:rsid w:val="E7BF4ECA"/>
    <w:rsid w:val="E97A951E"/>
    <w:rsid w:val="EB3C87D5"/>
    <w:rsid w:val="EDFD2C22"/>
    <w:rsid w:val="EDFF5E82"/>
    <w:rsid w:val="EFDF6CEC"/>
    <w:rsid w:val="F1F7BD3B"/>
    <w:rsid w:val="F2E1F9D4"/>
    <w:rsid w:val="F3B59B7F"/>
    <w:rsid w:val="F5D54A48"/>
    <w:rsid w:val="F6F7413A"/>
    <w:rsid w:val="F7880819"/>
    <w:rsid w:val="F7A539B5"/>
    <w:rsid w:val="F7FB3C7C"/>
    <w:rsid w:val="FBB9AAC5"/>
    <w:rsid w:val="FBDF0D69"/>
    <w:rsid w:val="FDFFF7AD"/>
    <w:rsid w:val="FEB40AF8"/>
    <w:rsid w:val="FF370235"/>
    <w:rsid w:val="FF3E8609"/>
    <w:rsid w:val="FF4F7350"/>
    <w:rsid w:val="FF5F6384"/>
    <w:rsid w:val="FF786BB2"/>
    <w:rsid w:val="FFFE5CB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0"/>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31"/>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4"/>
    <w:unhideWhenUsed/>
    <w:qFormat/>
    <w:uiPriority w:val="0"/>
    <w:pPr>
      <w:keepNext/>
      <w:keepLines/>
      <w:spacing w:before="260" w:after="260" w:line="416" w:lineRule="auto"/>
      <w:outlineLvl w:val="2"/>
    </w:pPr>
    <w:rPr>
      <w:b/>
      <w:bCs/>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1"/>
    <w:qFormat/>
    <w:uiPriority w:val="0"/>
    <w:rPr>
      <w:rFonts w:ascii="宋体" w:hAnsi="Courier New" w:eastAsia="仿宋_GB2312" w:cs="Courier New"/>
      <w:sz w:val="32"/>
      <w:szCs w:val="21"/>
    </w:rPr>
  </w:style>
  <w:style w:type="paragraph" w:styleId="6">
    <w:name w:val="Body Text"/>
    <w:basedOn w:val="1"/>
    <w:link w:val="27"/>
    <w:qFormat/>
    <w:uiPriority w:val="99"/>
    <w:pPr>
      <w:spacing w:beforeLines="30"/>
    </w:pPr>
    <w:rPr>
      <w:rFonts w:ascii="仿宋_GB2312" w:eastAsia="仿宋_GB2312"/>
      <w:kern w:val="0"/>
      <w:sz w:val="30"/>
    </w:rPr>
  </w:style>
  <w:style w:type="paragraph" w:styleId="7">
    <w:name w:val="Body Text Indent"/>
    <w:basedOn w:val="1"/>
    <w:next w:val="8"/>
    <w:qFormat/>
    <w:uiPriority w:val="0"/>
    <w:pPr>
      <w:spacing w:after="120"/>
      <w:ind w:left="200" w:leftChars="200"/>
    </w:pPr>
    <w:rPr>
      <w:rFonts w:ascii="仿宋_GB2312"/>
      <w:szCs w:val="32"/>
    </w:rPr>
  </w:style>
  <w:style w:type="paragraph" w:styleId="8">
    <w:name w:val="Body Text First Indent 2"/>
    <w:basedOn w:val="7"/>
    <w:unhideWhenUsed/>
    <w:qFormat/>
    <w:uiPriority w:val="99"/>
    <w:pPr>
      <w:ind w:firstLine="420" w:firstLineChars="200"/>
    </w:pPr>
  </w:style>
  <w:style w:type="paragraph" w:styleId="9">
    <w:name w:val="toc 3"/>
    <w:basedOn w:val="1"/>
    <w:next w:val="1"/>
    <w:qFormat/>
    <w:uiPriority w:val="0"/>
    <w:pPr>
      <w:tabs>
        <w:tab w:val="right" w:leader="dot" w:pos="8296"/>
      </w:tabs>
      <w:ind w:left="840" w:leftChars="400"/>
    </w:pPr>
  </w:style>
  <w:style w:type="paragraph" w:styleId="10">
    <w:name w:val="Balloon Text"/>
    <w:basedOn w:val="1"/>
    <w:link w:val="33"/>
    <w:qFormat/>
    <w:uiPriority w:val="0"/>
    <w:rPr>
      <w:sz w:val="18"/>
      <w:szCs w:val="18"/>
    </w:rPr>
  </w:style>
  <w:style w:type="paragraph" w:styleId="11">
    <w:name w:val="footer"/>
    <w:basedOn w:val="1"/>
    <w:link w:val="25"/>
    <w:unhideWhenUsed/>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3"/>
    <w:unhideWhenUsed/>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qFormat/>
    <w:uiPriority w:val="0"/>
    <w:pPr>
      <w:tabs>
        <w:tab w:val="right" w:leader="dot" w:pos="8296"/>
      </w:tabs>
      <w:spacing w:before="93"/>
      <w:jc w:val="center"/>
    </w:pPr>
    <w:rPr>
      <w:rFonts w:ascii="仿宋" w:hAnsi="仿宋" w:eastAsia="仿宋"/>
      <w:sz w:val="28"/>
      <w:szCs w:val="28"/>
    </w:rPr>
  </w:style>
  <w:style w:type="paragraph" w:styleId="14">
    <w:name w:val="footnote text"/>
    <w:basedOn w:val="1"/>
    <w:next w:val="8"/>
    <w:qFormat/>
    <w:uiPriority w:val="0"/>
    <w:pPr>
      <w:snapToGrid w:val="0"/>
      <w:jc w:val="left"/>
    </w:pPr>
    <w:rPr>
      <w:sz w:val="18"/>
      <w:szCs w:val="18"/>
    </w:rPr>
  </w:style>
  <w:style w:type="paragraph" w:styleId="15">
    <w:name w:val="toc 2"/>
    <w:basedOn w:val="1"/>
    <w:next w:val="1"/>
    <w:qFormat/>
    <w:uiPriority w:val="0"/>
    <w:pPr>
      <w:tabs>
        <w:tab w:val="right" w:leader="dot" w:pos="8296"/>
      </w:tabs>
      <w:ind w:left="420" w:leftChars="200"/>
    </w:pPr>
  </w:style>
  <w:style w:type="paragraph" w:styleId="16">
    <w:name w:val="Normal (Web)"/>
    <w:basedOn w:val="1"/>
    <w:qFormat/>
    <w:uiPriority w:val="0"/>
    <w:rPr>
      <w:sz w:val="24"/>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basedOn w:val="19"/>
    <w:qFormat/>
    <w:uiPriority w:val="0"/>
    <w:rPr>
      <w:b/>
    </w:rPr>
  </w:style>
  <w:style w:type="character" w:styleId="21">
    <w:name w:val="Hyperlink"/>
    <w:basedOn w:val="19"/>
    <w:qFormat/>
    <w:uiPriority w:val="0"/>
    <w:rPr>
      <w:color w:val="0000FF" w:themeColor="hyperlink"/>
      <w:u w:val="single"/>
    </w:rPr>
  </w:style>
  <w:style w:type="character" w:customStyle="1" w:styleId="22">
    <w:name w:val="Header Char"/>
    <w:basedOn w:val="19"/>
    <w:semiHidden/>
    <w:qFormat/>
    <w:uiPriority w:val="99"/>
    <w:rPr>
      <w:rFonts w:ascii="Times New Roman" w:hAnsi="Times New Roman"/>
      <w:sz w:val="18"/>
      <w:szCs w:val="18"/>
    </w:rPr>
  </w:style>
  <w:style w:type="character" w:customStyle="1" w:styleId="23">
    <w:name w:val="页眉 Char"/>
    <w:link w:val="12"/>
    <w:semiHidden/>
    <w:qFormat/>
    <w:locked/>
    <w:uiPriority w:val="99"/>
    <w:rPr>
      <w:sz w:val="18"/>
    </w:rPr>
  </w:style>
  <w:style w:type="character" w:customStyle="1" w:styleId="24">
    <w:name w:val="Footer Char"/>
    <w:basedOn w:val="19"/>
    <w:semiHidden/>
    <w:qFormat/>
    <w:uiPriority w:val="99"/>
    <w:rPr>
      <w:rFonts w:ascii="Times New Roman" w:hAnsi="Times New Roman"/>
      <w:sz w:val="18"/>
      <w:szCs w:val="18"/>
    </w:rPr>
  </w:style>
  <w:style w:type="character" w:customStyle="1" w:styleId="25">
    <w:name w:val="页脚 Char"/>
    <w:link w:val="11"/>
    <w:qFormat/>
    <w:locked/>
    <w:uiPriority w:val="99"/>
    <w:rPr>
      <w:sz w:val="18"/>
    </w:rPr>
  </w:style>
  <w:style w:type="character" w:customStyle="1" w:styleId="26">
    <w:name w:val="Body Text Char"/>
    <w:basedOn w:val="19"/>
    <w:semiHidden/>
    <w:qFormat/>
    <w:uiPriority w:val="99"/>
    <w:rPr>
      <w:rFonts w:ascii="Times New Roman" w:hAnsi="Times New Roman"/>
      <w:szCs w:val="24"/>
    </w:rPr>
  </w:style>
  <w:style w:type="character" w:customStyle="1" w:styleId="27">
    <w:name w:val="正文文本 Char"/>
    <w:link w:val="6"/>
    <w:qFormat/>
    <w:locked/>
    <w:uiPriority w:val="99"/>
    <w:rPr>
      <w:rFonts w:ascii="仿宋_GB2312" w:hAnsi="Times New Roman" w:eastAsia="仿宋_GB2312"/>
      <w:sz w:val="24"/>
    </w:rPr>
  </w:style>
  <w:style w:type="paragraph" w:customStyle="1" w:styleId="28">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9">
    <w:name w:val="List Paragraph"/>
    <w:basedOn w:val="1"/>
    <w:unhideWhenUsed/>
    <w:qFormat/>
    <w:uiPriority w:val="1"/>
    <w:pPr>
      <w:ind w:firstLine="420" w:firstLineChars="200"/>
    </w:pPr>
  </w:style>
  <w:style w:type="character" w:customStyle="1" w:styleId="30">
    <w:name w:val="标题 1 Char"/>
    <w:basedOn w:val="19"/>
    <w:link w:val="3"/>
    <w:qFormat/>
    <w:uiPriority w:val="9"/>
    <w:rPr>
      <w:rFonts w:ascii="Times New Roman" w:hAnsi="Times New Roman"/>
      <w:b/>
      <w:bCs/>
      <w:kern w:val="44"/>
      <w:sz w:val="44"/>
      <w:szCs w:val="44"/>
    </w:rPr>
  </w:style>
  <w:style w:type="character" w:customStyle="1" w:styleId="31">
    <w:name w:val="标题 2 Char"/>
    <w:basedOn w:val="19"/>
    <w:link w:val="4"/>
    <w:qFormat/>
    <w:uiPriority w:val="9"/>
    <w:rPr>
      <w:rFonts w:asciiTheme="majorHAnsi" w:hAnsiTheme="majorHAnsi" w:eastAsiaTheme="majorEastAsia" w:cstheme="majorBidi"/>
      <w:b/>
      <w:bCs/>
      <w:kern w:val="2"/>
      <w:sz w:val="32"/>
      <w:szCs w:val="32"/>
    </w:rPr>
  </w:style>
  <w:style w:type="paragraph" w:customStyle="1" w:styleId="32">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3">
    <w:name w:val="批注框文本 Char"/>
    <w:basedOn w:val="19"/>
    <w:link w:val="10"/>
    <w:semiHidden/>
    <w:qFormat/>
    <w:uiPriority w:val="99"/>
    <w:rPr>
      <w:rFonts w:ascii="Times New Roman" w:hAnsi="Times New Roman"/>
      <w:kern w:val="2"/>
      <w:sz w:val="18"/>
      <w:szCs w:val="18"/>
    </w:rPr>
  </w:style>
  <w:style w:type="character" w:customStyle="1" w:styleId="34">
    <w:name w:val="标题 3 Char"/>
    <w:basedOn w:val="19"/>
    <w:link w:val="5"/>
    <w:qFormat/>
    <w:uiPriority w:val="9"/>
    <w:rPr>
      <w:rFonts w:ascii="Times New Roman" w:hAnsi="Times New Roman"/>
      <w:b/>
      <w:bCs/>
      <w:kern w:val="2"/>
      <w:sz w:val="32"/>
      <w:szCs w:val="32"/>
    </w:rPr>
  </w:style>
  <w:style w:type="paragraph" w:customStyle="1" w:styleId="35">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36">
    <w:name w:val="WPSOffice手动目录 1"/>
    <w:qFormat/>
    <w:uiPriority w:val="0"/>
    <w:rPr>
      <w:rFonts w:ascii="Times New Roman" w:hAnsi="Times New Roman" w:eastAsia="宋体" w:cs="Times New Roman"/>
      <w:lang w:val="en-US" w:eastAsia="zh-CN" w:bidi="ar-SA"/>
    </w:rPr>
  </w:style>
  <w:style w:type="paragraph" w:customStyle="1" w:styleId="37">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38">
    <w:name w:val="四号正文"/>
    <w:basedOn w:val="1"/>
    <w:qFormat/>
    <w:uiPriority w:val="0"/>
    <w:pPr>
      <w:spacing w:line="360" w:lineRule="auto"/>
    </w:pPr>
    <w:rPr>
      <w:rFonts w:ascii="??" w:hAnsi="??"/>
      <w:color w:val="000000"/>
      <w:kern w:val="0"/>
      <w:sz w:val="28"/>
      <w:szCs w:val="21"/>
      <w:lang w:val="zh-CN"/>
    </w:rPr>
  </w:style>
  <w:style w:type="character" w:customStyle="1" w:styleId="39">
    <w:name w:val="font41"/>
    <w:basedOn w:val="19"/>
    <w:qFormat/>
    <w:uiPriority w:val="0"/>
    <w:rPr>
      <w:rFonts w:hint="eastAsia" w:ascii="宋体" w:hAnsi="宋体" w:eastAsia="宋体" w:cs="宋体"/>
      <w:color w:val="000000"/>
      <w:sz w:val="22"/>
      <w:szCs w:val="22"/>
      <w:u w:val="none"/>
    </w:rPr>
  </w:style>
  <w:style w:type="character" w:customStyle="1" w:styleId="40">
    <w:name w:val="font101"/>
    <w:basedOn w:val="19"/>
    <w:qFormat/>
    <w:uiPriority w:val="0"/>
    <w:rPr>
      <w:rFonts w:hint="eastAsia" w:ascii="宋体" w:hAnsi="宋体" w:eastAsia="宋体" w:cs="宋体"/>
      <w:color w:val="FF0000"/>
      <w:sz w:val="22"/>
      <w:szCs w:val="22"/>
      <w:u w:val="none"/>
    </w:rPr>
  </w:style>
  <w:style w:type="paragraph" w:customStyle="1" w:styleId="41">
    <w:name w:val="质联正文"/>
    <w:basedOn w:val="1"/>
    <w:qFormat/>
    <w:uiPriority w:val="3"/>
    <w:pPr>
      <w:spacing w:line="600" w:lineRule="exact"/>
      <w:ind w:firstLine="640" w:firstLineChars="200"/>
    </w:pPr>
    <w:rPr>
      <w:rFonts w:eastAsia="仿宋_GB2312"/>
      <w:kern w:val="0"/>
      <w:sz w:val="32"/>
      <w:szCs w:val="28"/>
      <w:lang w:val="zh-CN"/>
    </w:rPr>
  </w:style>
  <w:style w:type="paragraph" w:customStyle="1" w:styleId="42">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8" Type="http://schemas.openxmlformats.org/officeDocument/2006/relationships/fontTable" Target="fontTable.xml"/><Relationship Id="rId37" Type="http://schemas.openxmlformats.org/officeDocument/2006/relationships/numbering" Target="numbering.xml"/><Relationship Id="rId36" Type="http://schemas.openxmlformats.org/officeDocument/2006/relationships/customXml" Target="../customXml/item1.xml"/><Relationship Id="rId35" Type="http://schemas.openxmlformats.org/officeDocument/2006/relationships/image" Target="media/image16.png"/><Relationship Id="rId34" Type="http://schemas.openxmlformats.org/officeDocument/2006/relationships/oleObject" Target="embeddings/oleObject9.bin"/><Relationship Id="rId33" Type="http://schemas.openxmlformats.org/officeDocument/2006/relationships/image" Target="media/image15.png"/><Relationship Id="rId32" Type="http://schemas.openxmlformats.org/officeDocument/2006/relationships/oleObject" Target="embeddings/oleObject8.bin"/><Relationship Id="rId31" Type="http://schemas.openxmlformats.org/officeDocument/2006/relationships/image" Target="media/image14.png"/><Relationship Id="rId30" Type="http://schemas.openxmlformats.org/officeDocument/2006/relationships/image" Target="media/image13.png"/><Relationship Id="rId3" Type="http://schemas.openxmlformats.org/officeDocument/2006/relationships/header" Target="header1.xml"/><Relationship Id="rId29" Type="http://schemas.openxmlformats.org/officeDocument/2006/relationships/image" Target="media/image12.png"/><Relationship Id="rId28" Type="http://schemas.openxmlformats.org/officeDocument/2006/relationships/image" Target="media/image11.png"/><Relationship Id="rId27" Type="http://schemas.openxmlformats.org/officeDocument/2006/relationships/image" Target="media/image10.png"/><Relationship Id="rId26" Type="http://schemas.openxmlformats.org/officeDocument/2006/relationships/image" Target="media/image9.png"/><Relationship Id="rId25" Type="http://schemas.openxmlformats.org/officeDocument/2006/relationships/image" Target="media/image8.png"/><Relationship Id="rId24" Type="http://schemas.openxmlformats.org/officeDocument/2006/relationships/image" Target="media/image7.png"/><Relationship Id="rId23" Type="http://schemas.openxmlformats.org/officeDocument/2006/relationships/oleObject" Target="embeddings/oleObject7.bin"/><Relationship Id="rId22" Type="http://schemas.openxmlformats.org/officeDocument/2006/relationships/image" Target="media/image6.png"/><Relationship Id="rId21" Type="http://schemas.openxmlformats.org/officeDocument/2006/relationships/oleObject" Target="embeddings/oleObject6.bin"/><Relationship Id="rId20" Type="http://schemas.openxmlformats.org/officeDocument/2006/relationships/image" Target="media/image5.png"/><Relationship Id="rId2" Type="http://schemas.openxmlformats.org/officeDocument/2006/relationships/settings" Target="settings.xml"/><Relationship Id="rId19" Type="http://schemas.openxmlformats.org/officeDocument/2006/relationships/oleObject" Target="embeddings/oleObject5.bin"/><Relationship Id="rId18" Type="http://schemas.openxmlformats.org/officeDocument/2006/relationships/image" Target="media/image4.png"/><Relationship Id="rId17" Type="http://schemas.openxmlformats.org/officeDocument/2006/relationships/oleObject" Target="embeddings/oleObject4.bin"/><Relationship Id="rId16" Type="http://schemas.openxmlformats.org/officeDocument/2006/relationships/image" Target="media/image3.png"/><Relationship Id="rId15" Type="http://schemas.openxmlformats.org/officeDocument/2006/relationships/oleObject" Target="embeddings/oleObject3.bin"/><Relationship Id="rId14" Type="http://schemas.openxmlformats.org/officeDocument/2006/relationships/image" Target="media/image2.png"/><Relationship Id="rId13" Type="http://schemas.openxmlformats.org/officeDocument/2006/relationships/oleObject" Target="embeddings/oleObject2.bin"/><Relationship Id="rId12" Type="http://schemas.openxmlformats.org/officeDocument/2006/relationships/image" Target="media/image1.png"/><Relationship Id="rId11" Type="http://schemas.openxmlformats.org/officeDocument/2006/relationships/oleObject" Target="embeddings/oleObject1.bin"/><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1"/>
    <customShpInfo spid="_x0000_s2052"/>
    <customShpInfo spid="_x0000_s2049"/>
    <customShpInfo spid="_x0000_s2050"/>
    <customShpInfo spid="_x0000_s1027"/>
    <customShpInfo spid="_x0000_s1028"/>
    <customShpInfo spid="_x0000_s1029"/>
    <customShpInfo spid="_x0000_s1030"/>
    <customShpInfo spid="_x0000_s1031"/>
    <customShpInfo spid="_x0000_s104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45</Pages>
  <Words>14534</Words>
  <Characters>15884</Characters>
  <Lines>40</Lines>
  <Paragraphs>41</Paragraphs>
  <TotalTime>8</TotalTime>
  <ScaleCrop>false</ScaleCrop>
  <LinksUpToDate>false</LinksUpToDate>
  <CharactersWithSpaces>16011</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2020-07-17T16:13:00Z</dcterms:created>
  <dc:creator>Administrator</dc:creator>
  <cp:lastModifiedBy>燕子</cp:lastModifiedBy>
  <cp:lastPrinted>2016-02-18T19:32:00Z</cp:lastPrinted>
  <dcterms:modified xsi:type="dcterms:W3CDTF">2025-08-13T14:51:45Z</dcterms:modified>
  <dc:title>四川省***</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3F1CDA6508564230B7ECBA4B2D709F55</vt:lpwstr>
  </property>
  <property fmtid="{D5CDD505-2E9C-101B-9397-08002B2CF9AE}" pid="4" name="KSOTemplateDocerSaveRecord">
    <vt:lpwstr>eyJoZGlkIjoiNWMyNzM4NTFhYTMzNTQxNjAyYjBjOTQ2YTc2ZTQ1N2MiLCJ1c2VySWQiOiI0MjY5MzY2NDEifQ==</vt:lpwstr>
  </property>
</Properties>
</file>