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DA529">
      <w:pPr>
        <w:spacing w:line="600" w:lineRule="exact"/>
        <w:jc w:val="left"/>
        <w:outlineLvl w:val="0"/>
        <w:rPr>
          <w:rFonts w:ascii="方正小标宋简体" w:hAnsi="宋体" w:eastAsia="方正小标宋简体"/>
          <w:szCs w:val="21"/>
        </w:rPr>
      </w:pPr>
      <w:bookmarkStart w:id="0" w:name="_Toc15306267"/>
    </w:p>
    <w:p w14:paraId="359BA8E5">
      <w:pPr>
        <w:pStyle w:val="5"/>
        <w:spacing w:before="93"/>
      </w:pPr>
    </w:p>
    <w:p w14:paraId="30E42CD2">
      <w:pPr>
        <w:spacing w:line="600" w:lineRule="exact"/>
        <w:jc w:val="center"/>
        <w:outlineLvl w:val="0"/>
        <w:rPr>
          <w:rFonts w:ascii="方正小标宋简体" w:hAnsi="宋体" w:eastAsia="方正小标宋简体"/>
          <w:sz w:val="72"/>
          <w:szCs w:val="72"/>
        </w:rPr>
      </w:pPr>
    </w:p>
    <w:p w14:paraId="327FFFEE">
      <w:pPr>
        <w:spacing w:line="600" w:lineRule="exact"/>
        <w:jc w:val="center"/>
        <w:outlineLvl w:val="0"/>
        <w:rPr>
          <w:rFonts w:ascii="方正小标宋简体" w:hAnsi="宋体" w:eastAsia="方正小标宋简体"/>
          <w:sz w:val="72"/>
          <w:szCs w:val="72"/>
        </w:rPr>
      </w:pPr>
    </w:p>
    <w:p w14:paraId="7C08BAB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8441"/>
      <w:bookmarkStart w:id="3" w:name="_Toc15396475"/>
      <w:bookmarkStart w:id="4" w:name="_Toc15396597"/>
      <w:bookmarkStart w:id="5" w:name="_Toc1537742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14:paraId="65B4EE7E">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bookmarkStart w:id="6" w:name="_Toc15377426"/>
      <w:bookmarkStart w:id="7" w:name="_Toc15396476"/>
      <w:bookmarkStart w:id="8" w:name="_Toc15396598"/>
      <w:bookmarkStart w:id="9" w:name="_Toc15378442"/>
      <w:bookmarkStart w:id="10" w:name="_Toc15377194"/>
      <w:r>
        <w:rPr>
          <w:rFonts w:hint="eastAsia" w:ascii="方正小标宋简体" w:hAnsi="方正小标宋简体" w:eastAsia="方正小标宋简体" w:cs="方正小标宋简体"/>
          <w:sz w:val="52"/>
          <w:szCs w:val="52"/>
        </w:rPr>
        <w:t>四川省</w:t>
      </w:r>
      <w:bookmarkEnd w:id="0"/>
      <w:bookmarkStart w:id="11" w:name="_Toc15306268"/>
      <w:r>
        <w:rPr>
          <w:rFonts w:hint="eastAsia" w:ascii="方正小标宋简体" w:hAnsi="方正小标宋简体" w:eastAsia="方正小标宋简体" w:cs="方正小标宋简体"/>
          <w:sz w:val="52"/>
          <w:szCs w:val="52"/>
          <w:lang w:val="en-US" w:eastAsia="zh-CN"/>
        </w:rPr>
        <w:t>遂宁市第四人民医院</w:t>
      </w:r>
    </w:p>
    <w:p w14:paraId="1DB43FF7">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单位</w:t>
      </w:r>
      <w:r>
        <w:rPr>
          <w:rFonts w:hint="eastAsia" w:ascii="方正小标宋简体" w:hAnsi="方正小标宋简体" w:eastAsia="方正小标宋简体" w:cs="方正小标宋简体"/>
          <w:sz w:val="52"/>
          <w:szCs w:val="52"/>
        </w:rPr>
        <w:t>决算</w:t>
      </w:r>
      <w:bookmarkEnd w:id="6"/>
      <w:bookmarkEnd w:id="7"/>
      <w:bookmarkEnd w:id="8"/>
      <w:bookmarkEnd w:id="9"/>
      <w:bookmarkEnd w:id="10"/>
      <w:bookmarkEnd w:id="11"/>
      <w:r>
        <w:rPr>
          <w:rFonts w:hint="eastAsia" w:ascii="方正小标宋简体" w:hAnsi="方正小标宋简体" w:eastAsia="方正小标宋简体" w:cs="方正小标宋简体"/>
          <w:sz w:val="52"/>
          <w:szCs w:val="52"/>
          <w:lang w:val="en-US" w:eastAsia="zh-CN"/>
        </w:rPr>
        <w:t>公开</w:t>
      </w:r>
    </w:p>
    <w:p w14:paraId="5B2F653D">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0E627B4">
      <w:pPr>
        <w:widowControl/>
        <w:jc w:val="center"/>
        <w:rPr>
          <w:rFonts w:ascii="黑体" w:hAnsi="黑体" w:eastAsia="黑体" w:cstheme="minorBidi"/>
          <w:sz w:val="28"/>
          <w:szCs w:val="28"/>
        </w:rPr>
      </w:pPr>
    </w:p>
    <w:p w14:paraId="18E73578">
      <w:pPr>
        <w:pStyle w:val="11"/>
      </w:pPr>
      <w:r>
        <w:rPr>
          <w:rFonts w:hint="eastAsia"/>
        </w:rPr>
        <w:t>公开时间：202</w:t>
      </w:r>
      <w:r>
        <w:rPr>
          <w:rFonts w:hint="eastAsia"/>
          <w:lang w:val="en-US" w:eastAsia="zh-CN"/>
        </w:rPr>
        <w:t>5</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w:t>
      </w:r>
      <w:bookmarkStart w:id="63" w:name="_GoBack"/>
      <w:bookmarkEnd w:id="63"/>
    </w:p>
    <w:p w14:paraId="0602887C"/>
    <w:p w14:paraId="0947A691">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369994D9">
      <w:pPr>
        <w:pStyle w:val="12"/>
        <w:adjustRightInd w:val="0"/>
        <w:snapToGrid w:val="0"/>
        <w:spacing w:line="440" w:lineRule="exact"/>
        <w:jc w:val="left"/>
        <w:rPr>
          <w:sz w:val="24"/>
        </w:rPr>
      </w:pPr>
      <w:r>
        <w:rPr>
          <w:rFonts w:hint="eastAsia"/>
          <w:sz w:val="24"/>
        </w:rPr>
        <w:t>一、主要职责</w:t>
      </w:r>
    </w:p>
    <w:p w14:paraId="5CAE47F2">
      <w:pPr>
        <w:pStyle w:val="12"/>
        <w:adjustRightInd w:val="0"/>
        <w:snapToGrid w:val="0"/>
        <w:spacing w:line="440" w:lineRule="exact"/>
        <w:jc w:val="left"/>
      </w:pPr>
      <w:r>
        <w:rPr>
          <w:rFonts w:hint="eastAsia"/>
          <w:sz w:val="24"/>
        </w:rPr>
        <w:t>二、机构设置</w:t>
      </w:r>
    </w:p>
    <w:p w14:paraId="53012B89">
      <w:pPr>
        <w:pStyle w:val="11"/>
        <w:adjustRightInd w:val="0"/>
        <w:snapToGrid w:val="0"/>
        <w:spacing w:before="0" w:line="440" w:lineRule="exact"/>
        <w:jc w:val="left"/>
        <w:rPr>
          <w:sz w:val="24"/>
          <w:szCs w:val="24"/>
        </w:rPr>
      </w:pPr>
      <w:r>
        <w:rPr>
          <w:rFonts w:hint="eastAsia"/>
          <w:sz w:val="24"/>
        </w:rPr>
        <w:t>第二部分 202</w:t>
      </w:r>
      <w:r>
        <w:rPr>
          <w:rFonts w:hint="eastAsia"/>
          <w:sz w:val="24"/>
          <w:lang w:val="en-US" w:eastAsia="zh-CN"/>
        </w:rPr>
        <w:t>4</w:t>
      </w:r>
      <w:r>
        <w:rPr>
          <w:rFonts w:hint="eastAsia"/>
          <w:sz w:val="24"/>
        </w:rPr>
        <w:t>年度单位决算情况说明</w:t>
      </w:r>
    </w:p>
    <w:p w14:paraId="4C92748B">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0E08CD35">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14:paraId="7FDEE7B1">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14:paraId="5612F685">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09B285B1">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2E7C9D0E">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5CDCB27E">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3A60E063">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05E015CF">
      <w:pPr>
        <w:pStyle w:val="12"/>
        <w:adjustRightInd w:val="0"/>
        <w:snapToGrid w:val="0"/>
        <w:spacing w:line="440" w:lineRule="exact"/>
        <w:jc w:val="left"/>
        <w:rPr>
          <w:sz w:val="24"/>
        </w:rPr>
      </w:pPr>
      <w:r>
        <w:rPr>
          <w:rFonts w:hint="eastAsia"/>
          <w:sz w:val="24"/>
        </w:rPr>
        <w:t>九、国有资本经营预算支出决算情况说明</w:t>
      </w:r>
    </w:p>
    <w:p w14:paraId="739A598E">
      <w:pPr>
        <w:pStyle w:val="12"/>
        <w:adjustRightInd w:val="0"/>
        <w:snapToGrid w:val="0"/>
        <w:spacing w:line="440" w:lineRule="exact"/>
        <w:jc w:val="left"/>
        <w:rPr>
          <w:sz w:val="24"/>
        </w:rPr>
      </w:pPr>
      <w:r>
        <w:rPr>
          <w:rFonts w:hint="eastAsia"/>
          <w:sz w:val="24"/>
        </w:rPr>
        <w:t>十、其他重要事项的情况说明</w:t>
      </w:r>
    </w:p>
    <w:p w14:paraId="2722EE4C">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46B3DE33">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11C91E37">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1AE74695">
      <w:pPr>
        <w:pStyle w:val="12"/>
        <w:adjustRightInd w:val="0"/>
        <w:snapToGrid w:val="0"/>
        <w:spacing w:line="440" w:lineRule="exact"/>
        <w:jc w:val="left"/>
        <w:rPr>
          <w:sz w:val="24"/>
        </w:rPr>
      </w:pPr>
      <w:r>
        <w:rPr>
          <w:rFonts w:hint="eastAsia"/>
          <w:sz w:val="24"/>
        </w:rPr>
        <w:t>一、收入支出决算总表</w:t>
      </w:r>
    </w:p>
    <w:p w14:paraId="01FAAC59">
      <w:pPr>
        <w:pStyle w:val="12"/>
        <w:adjustRightInd w:val="0"/>
        <w:snapToGrid w:val="0"/>
        <w:spacing w:line="440" w:lineRule="exact"/>
        <w:jc w:val="left"/>
        <w:rPr>
          <w:sz w:val="24"/>
        </w:rPr>
      </w:pPr>
      <w:r>
        <w:rPr>
          <w:rFonts w:hint="eastAsia"/>
          <w:sz w:val="24"/>
        </w:rPr>
        <w:t>二、收入决算表</w:t>
      </w:r>
    </w:p>
    <w:p w14:paraId="75E6CCD8">
      <w:pPr>
        <w:pStyle w:val="12"/>
        <w:adjustRightInd w:val="0"/>
        <w:snapToGrid w:val="0"/>
        <w:spacing w:line="440" w:lineRule="exact"/>
        <w:jc w:val="left"/>
        <w:rPr>
          <w:sz w:val="24"/>
        </w:rPr>
      </w:pPr>
      <w:r>
        <w:rPr>
          <w:rFonts w:hint="eastAsia"/>
          <w:sz w:val="24"/>
        </w:rPr>
        <w:t>三、支出决算表</w:t>
      </w:r>
    </w:p>
    <w:p w14:paraId="4721D088">
      <w:pPr>
        <w:pStyle w:val="12"/>
        <w:adjustRightInd w:val="0"/>
        <w:snapToGrid w:val="0"/>
        <w:spacing w:line="440" w:lineRule="exact"/>
        <w:jc w:val="left"/>
        <w:rPr>
          <w:sz w:val="24"/>
        </w:rPr>
      </w:pPr>
      <w:r>
        <w:rPr>
          <w:rFonts w:hint="eastAsia"/>
          <w:sz w:val="24"/>
        </w:rPr>
        <w:t>四、财政拨款收入支出决算总表</w:t>
      </w:r>
    </w:p>
    <w:p w14:paraId="6F18DD08">
      <w:pPr>
        <w:pStyle w:val="12"/>
        <w:adjustRightInd w:val="0"/>
        <w:snapToGrid w:val="0"/>
        <w:spacing w:line="440" w:lineRule="exact"/>
        <w:jc w:val="left"/>
        <w:rPr>
          <w:sz w:val="24"/>
        </w:rPr>
      </w:pPr>
      <w:r>
        <w:rPr>
          <w:rFonts w:hint="eastAsia"/>
          <w:sz w:val="24"/>
        </w:rPr>
        <w:t>五、财政拨款支出决算明细表</w:t>
      </w:r>
    </w:p>
    <w:p w14:paraId="6106BDC8">
      <w:pPr>
        <w:pStyle w:val="12"/>
        <w:adjustRightInd w:val="0"/>
        <w:snapToGrid w:val="0"/>
        <w:spacing w:line="440" w:lineRule="exact"/>
        <w:jc w:val="left"/>
        <w:rPr>
          <w:sz w:val="24"/>
        </w:rPr>
      </w:pPr>
      <w:r>
        <w:rPr>
          <w:rFonts w:hint="eastAsia"/>
          <w:sz w:val="24"/>
        </w:rPr>
        <w:t>六、一般公共预算财政拨款支出决算表</w:t>
      </w:r>
    </w:p>
    <w:p w14:paraId="6AD7590E">
      <w:pPr>
        <w:pStyle w:val="12"/>
        <w:adjustRightInd w:val="0"/>
        <w:snapToGrid w:val="0"/>
        <w:spacing w:line="440" w:lineRule="exact"/>
        <w:jc w:val="left"/>
        <w:rPr>
          <w:sz w:val="24"/>
        </w:rPr>
      </w:pPr>
      <w:r>
        <w:rPr>
          <w:rFonts w:hint="eastAsia"/>
          <w:sz w:val="24"/>
        </w:rPr>
        <w:t>七、一般公共预算财政拨款支出决算明细表</w:t>
      </w:r>
    </w:p>
    <w:p w14:paraId="04185567">
      <w:pPr>
        <w:pStyle w:val="12"/>
        <w:adjustRightInd w:val="0"/>
        <w:snapToGrid w:val="0"/>
        <w:spacing w:line="440" w:lineRule="exact"/>
        <w:jc w:val="left"/>
        <w:rPr>
          <w:sz w:val="24"/>
        </w:rPr>
      </w:pPr>
      <w:r>
        <w:rPr>
          <w:rFonts w:hint="eastAsia"/>
          <w:sz w:val="24"/>
        </w:rPr>
        <w:t>八、一般公共预算财政拨款基本支出决算明细表</w:t>
      </w:r>
    </w:p>
    <w:p w14:paraId="2FC77711">
      <w:pPr>
        <w:pStyle w:val="12"/>
        <w:adjustRightInd w:val="0"/>
        <w:snapToGrid w:val="0"/>
        <w:spacing w:line="440" w:lineRule="exact"/>
        <w:jc w:val="left"/>
        <w:rPr>
          <w:sz w:val="24"/>
        </w:rPr>
      </w:pPr>
      <w:r>
        <w:rPr>
          <w:rFonts w:hint="eastAsia"/>
          <w:sz w:val="24"/>
        </w:rPr>
        <w:t>九、一般公共预算财政拨款项目支出决算表</w:t>
      </w:r>
    </w:p>
    <w:p w14:paraId="15AE1A42">
      <w:pPr>
        <w:pStyle w:val="12"/>
        <w:adjustRightInd w:val="0"/>
        <w:snapToGrid w:val="0"/>
        <w:spacing w:line="440" w:lineRule="exact"/>
        <w:jc w:val="left"/>
        <w:rPr>
          <w:sz w:val="24"/>
        </w:rPr>
      </w:pPr>
      <w:r>
        <w:rPr>
          <w:rFonts w:hint="eastAsia"/>
          <w:sz w:val="24"/>
        </w:rPr>
        <w:t>十、政府性基金预算财政拨款收入支出决算表</w:t>
      </w:r>
    </w:p>
    <w:p w14:paraId="38420F7E">
      <w:pPr>
        <w:pStyle w:val="12"/>
        <w:adjustRightInd w:val="0"/>
        <w:snapToGrid w:val="0"/>
        <w:spacing w:line="440" w:lineRule="exact"/>
        <w:jc w:val="left"/>
        <w:rPr>
          <w:sz w:val="24"/>
        </w:rPr>
      </w:pPr>
      <w:r>
        <w:rPr>
          <w:rFonts w:hint="eastAsia"/>
          <w:sz w:val="24"/>
        </w:rPr>
        <w:t>十一、国有资本经营预算财政拨款收入支出决算表</w:t>
      </w:r>
    </w:p>
    <w:p w14:paraId="255408AA">
      <w:pPr>
        <w:pStyle w:val="12"/>
        <w:adjustRightInd w:val="0"/>
        <w:snapToGrid w:val="0"/>
        <w:spacing w:line="440" w:lineRule="exact"/>
        <w:jc w:val="left"/>
        <w:rPr>
          <w:sz w:val="24"/>
        </w:rPr>
      </w:pPr>
      <w:r>
        <w:rPr>
          <w:rFonts w:hint="eastAsia"/>
          <w:sz w:val="24"/>
        </w:rPr>
        <w:t>十二、国有资本经营预算财政拨款支出决算表</w:t>
      </w:r>
    </w:p>
    <w:p w14:paraId="7AF846AB">
      <w:pPr>
        <w:pStyle w:val="12"/>
        <w:adjustRightInd w:val="0"/>
        <w:snapToGrid w:val="0"/>
        <w:spacing w:line="440" w:lineRule="exact"/>
        <w:jc w:val="left"/>
        <w:rPr>
          <w:sz w:val="24"/>
        </w:rPr>
      </w:pPr>
      <w:r>
        <w:rPr>
          <w:rFonts w:hint="eastAsia"/>
          <w:sz w:val="24"/>
        </w:rPr>
        <w:t>十三、财政拨款“三公”经费支出决算表</w:t>
      </w:r>
    </w:p>
    <w:p w14:paraId="541262E5">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14:paraId="14A9DEC8">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629C3B72">
      <w:pPr>
        <w:pStyle w:val="2"/>
        <w:jc w:val="center"/>
        <w:rPr>
          <w:rFonts w:ascii="黑体" w:eastAsia="黑体"/>
          <w:sz w:val="32"/>
          <w:szCs w:val="32"/>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14:paraId="073EBD52">
      <w:pPr>
        <w:pStyle w:val="3"/>
        <w:numPr>
          <w:ilvl w:val="0"/>
          <w:numId w:val="1"/>
        </w:numPr>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rPr>
        <w:t>主要职责</w:t>
      </w:r>
    </w:p>
    <w:p w14:paraId="7E98080E">
      <w:pPr>
        <w:keepNext w:val="0"/>
        <w:keepLines w:val="0"/>
        <w:pageBreakBefore w:val="0"/>
        <w:widowControl w:val="0"/>
        <w:kinsoku/>
        <w:wordWrap/>
        <w:overflowPunct/>
        <w:topLinePunct w:val="0"/>
        <w:autoSpaceDN/>
        <w:bidi w:val="0"/>
        <w:adjustRightInd/>
        <w:spacing w:line="360" w:lineRule="auto"/>
        <w:ind w:left="141" w:leftChars="67" w:firstLine="600" w:firstLineChars="200"/>
        <w:jc w:val="left"/>
        <w:textAlignment w:val="auto"/>
      </w:pPr>
      <w:r>
        <w:rPr>
          <w:rFonts w:hint="eastAsia" w:ascii="宋体" w:hAnsi="宋体" w:eastAsia="宋体" w:cs="宋体"/>
          <w:sz w:val="30"/>
          <w:szCs w:val="30"/>
        </w:rPr>
        <w:t>在市中心医院的指导和帮助下，我院是川中地区唯一的专门诊断、治疗感染性疾病（包括传染病）的医院，是遂宁市艾滋病和耐多药结核诊治、疑难重症结核病收治定点医疗机构,担负着遂宁地区及相邻市县感染性疾病的临床诊治、带教以及会诊指导等任务，并承担了全市突发公共卫生事件的应急处理及救治，多次在传染病疫情处置过程中作出重大贡献</w:t>
      </w:r>
      <w:r>
        <w:rPr>
          <w:rFonts w:hint="eastAsia" w:ascii="宋体" w:hAnsi="宋体" w:eastAsia="宋体" w:cs="宋体"/>
          <w:sz w:val="30"/>
          <w:szCs w:val="30"/>
          <w:lang w:val="en-US" w:eastAsia="zh-CN"/>
        </w:rPr>
        <w:t>:</w:t>
      </w:r>
      <w:r>
        <w:rPr>
          <w:rFonts w:hint="eastAsia" w:ascii="宋体" w:hAnsi="宋体" w:eastAsia="宋体" w:cs="宋体"/>
          <w:sz w:val="30"/>
          <w:szCs w:val="30"/>
        </w:rPr>
        <w:t>甲型H1N1流感、人感染H7N9禽流感</w:t>
      </w:r>
      <w:r>
        <w:rPr>
          <w:rFonts w:hint="eastAsia" w:ascii="宋体" w:hAnsi="宋体" w:eastAsia="宋体" w:cs="宋体"/>
          <w:sz w:val="30"/>
          <w:szCs w:val="30"/>
          <w:lang w:eastAsia="zh-CN"/>
        </w:rPr>
        <w:t>、新型冠状病毒肺炎</w:t>
      </w:r>
      <w:r>
        <w:rPr>
          <w:rFonts w:hint="eastAsia" w:ascii="宋体" w:hAnsi="宋体" w:eastAsia="宋体" w:cs="宋体"/>
          <w:sz w:val="30"/>
          <w:szCs w:val="30"/>
        </w:rPr>
        <w:t>等重大传染病疫情的救</w:t>
      </w:r>
      <w:r>
        <w:rPr>
          <w:rFonts w:hint="eastAsia" w:ascii="宋体" w:hAnsi="宋体" w:eastAsia="宋体" w:cs="宋体"/>
          <w:sz w:val="30"/>
          <w:szCs w:val="30"/>
          <w:lang w:eastAsia="zh-CN"/>
        </w:rPr>
        <w:t>治。</w:t>
      </w:r>
      <w:r>
        <w:rPr>
          <w:rFonts w:hint="eastAsia" w:ascii="宋体" w:hAnsi="宋体" w:eastAsia="宋体" w:cs="宋体"/>
          <w:sz w:val="30"/>
          <w:szCs w:val="30"/>
        </w:rPr>
        <w:t>十</w:t>
      </w:r>
      <w:r>
        <w:rPr>
          <w:rFonts w:hint="eastAsia" w:ascii="宋体" w:hAnsi="宋体" w:eastAsia="宋体" w:cs="宋体"/>
          <w:sz w:val="30"/>
          <w:szCs w:val="30"/>
          <w:lang w:eastAsia="zh-CN"/>
        </w:rPr>
        <w:t>七</w:t>
      </w:r>
      <w:r>
        <w:rPr>
          <w:rFonts w:hint="eastAsia" w:ascii="宋体" w:hAnsi="宋体" w:eastAsia="宋体" w:cs="宋体"/>
          <w:sz w:val="30"/>
          <w:szCs w:val="30"/>
        </w:rPr>
        <w:t>年来，我院一直致力于遂宁市及周边相邻地区传染病的救治、防控工作，承担了多次麻疹疫情的处理、艾滋病机会性感染患者的收治、HIV感染者免费抗病毒治疗的管理、各种病毒性肝炎及其他肝病的救治、学校结核病筛查和结核定点门诊工作．</w:t>
      </w:r>
    </w:p>
    <w:p w14:paraId="583F17F3">
      <w:pPr>
        <w:pStyle w:val="3"/>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14:paraId="1FCC9D29">
      <w:pPr>
        <w:widowControl/>
        <w:jc w:val="left"/>
        <w:rPr>
          <w:rFonts w:ascii="仿宋" w:hAnsi="仿宋" w:eastAsia="仿宋"/>
          <w:kern w:val="0"/>
          <w:sz w:val="32"/>
          <w:szCs w:val="32"/>
        </w:rPr>
      </w:pPr>
      <w:r>
        <w:rPr>
          <w:rFonts w:hint="eastAsia"/>
          <w:lang w:val="en-US" w:eastAsia="zh-CN"/>
        </w:rPr>
        <w:t xml:space="preserve">    </w:t>
      </w:r>
      <w:r>
        <w:rPr>
          <w:rFonts w:hint="eastAsia" w:ascii="宋体" w:hAnsi="宋体" w:eastAsia="宋体" w:cs="宋体"/>
          <w:sz w:val="30"/>
          <w:szCs w:val="30"/>
          <w:lang w:val="en-US" w:eastAsia="zh-CN"/>
        </w:rPr>
        <w:t>本年7月</w:t>
      </w:r>
      <w:r>
        <w:rPr>
          <w:rFonts w:hint="eastAsia" w:ascii="宋体" w:hAnsi="宋体" w:eastAsia="宋体" w:cs="宋体"/>
          <w:sz w:val="30"/>
          <w:szCs w:val="30"/>
        </w:rPr>
        <w:t>我院</w:t>
      </w:r>
      <w:r>
        <w:rPr>
          <w:rFonts w:hint="eastAsia" w:ascii="宋体" w:hAnsi="宋体" w:eastAsia="宋体" w:cs="宋体"/>
          <w:sz w:val="30"/>
          <w:szCs w:val="30"/>
          <w:lang w:val="en-US" w:eastAsia="zh-CN"/>
        </w:rPr>
        <w:t>新增综合康复科，</w:t>
      </w:r>
      <w:r>
        <w:rPr>
          <w:rFonts w:hint="eastAsia" w:ascii="宋体" w:hAnsi="宋体" w:eastAsia="宋体" w:cs="宋体"/>
          <w:sz w:val="30"/>
          <w:szCs w:val="30"/>
        </w:rPr>
        <w:t>现有在职工人员</w:t>
      </w:r>
      <w:r>
        <w:rPr>
          <w:rFonts w:hint="eastAsia" w:ascii="宋体" w:hAnsi="宋体" w:eastAsia="宋体" w:cs="宋体"/>
          <w:sz w:val="30"/>
          <w:szCs w:val="30"/>
          <w:lang w:val="en-US" w:eastAsia="zh-CN"/>
        </w:rPr>
        <w:t>86</w:t>
      </w:r>
      <w:r>
        <w:rPr>
          <w:rFonts w:hint="eastAsia" w:ascii="宋体" w:hAnsi="宋体" w:eastAsia="宋体" w:cs="宋体"/>
          <w:sz w:val="30"/>
          <w:szCs w:val="30"/>
        </w:rPr>
        <w:t>名，退休职工</w:t>
      </w:r>
      <w:r>
        <w:rPr>
          <w:rFonts w:hint="eastAsia" w:ascii="宋体" w:hAnsi="宋体" w:eastAsia="宋体" w:cs="宋体"/>
          <w:sz w:val="30"/>
          <w:szCs w:val="30"/>
          <w:lang w:val="en-US" w:eastAsia="zh-CN"/>
        </w:rPr>
        <w:t>6</w:t>
      </w:r>
      <w:r>
        <w:rPr>
          <w:rFonts w:hint="eastAsia" w:ascii="宋体" w:hAnsi="宋体" w:eastAsia="宋体" w:cs="宋体"/>
          <w:sz w:val="30"/>
          <w:szCs w:val="30"/>
        </w:rPr>
        <w:t>名。其中：医护人员</w:t>
      </w:r>
      <w:r>
        <w:rPr>
          <w:rFonts w:hint="eastAsia" w:ascii="宋体" w:hAnsi="宋体" w:eastAsia="宋体" w:cs="宋体"/>
          <w:sz w:val="30"/>
          <w:szCs w:val="30"/>
          <w:lang w:val="en-US" w:eastAsia="zh-CN"/>
        </w:rPr>
        <w:t>51</w:t>
      </w:r>
      <w:r>
        <w:rPr>
          <w:rFonts w:hint="eastAsia" w:ascii="宋体" w:hAnsi="宋体" w:eastAsia="宋体" w:cs="宋体"/>
          <w:sz w:val="30"/>
          <w:szCs w:val="30"/>
        </w:rPr>
        <w:t>名（医生</w:t>
      </w:r>
      <w:r>
        <w:rPr>
          <w:rFonts w:hint="eastAsia" w:ascii="宋体" w:hAnsi="宋体" w:eastAsia="宋体" w:cs="宋体"/>
          <w:sz w:val="30"/>
          <w:szCs w:val="30"/>
          <w:lang w:val="en-US" w:eastAsia="zh-CN"/>
        </w:rPr>
        <w:t>21</w:t>
      </w:r>
      <w:r>
        <w:rPr>
          <w:rFonts w:hint="eastAsia" w:ascii="宋体" w:hAnsi="宋体" w:eastAsia="宋体" w:cs="宋体"/>
          <w:sz w:val="30"/>
          <w:szCs w:val="30"/>
        </w:rPr>
        <w:t>名</w:t>
      </w:r>
      <w:r>
        <w:rPr>
          <w:rFonts w:hint="eastAsia" w:ascii="宋体" w:hAnsi="宋体" w:eastAsia="宋体" w:cs="宋体"/>
          <w:sz w:val="30"/>
          <w:szCs w:val="30"/>
          <w:lang w:eastAsia="zh-CN"/>
        </w:rPr>
        <w:t>，</w:t>
      </w:r>
      <w:r>
        <w:rPr>
          <w:rFonts w:hint="eastAsia" w:ascii="宋体" w:hAnsi="宋体" w:eastAsia="宋体" w:cs="宋体"/>
          <w:sz w:val="30"/>
          <w:szCs w:val="30"/>
        </w:rPr>
        <w:t>硕士研究生</w:t>
      </w:r>
      <w:r>
        <w:rPr>
          <w:rFonts w:hint="eastAsia" w:ascii="宋体" w:hAnsi="宋体" w:eastAsia="宋体" w:cs="宋体"/>
          <w:color w:val="800000"/>
          <w:sz w:val="30"/>
          <w:szCs w:val="30"/>
        </w:rPr>
        <w:t>8</w:t>
      </w:r>
      <w:r>
        <w:rPr>
          <w:rFonts w:hint="eastAsia" w:ascii="宋体" w:hAnsi="宋体" w:eastAsia="宋体" w:cs="宋体"/>
          <w:sz w:val="30"/>
          <w:szCs w:val="30"/>
        </w:rPr>
        <w:t>人，</w:t>
      </w:r>
      <w:r>
        <w:rPr>
          <w:rFonts w:hint="eastAsia" w:ascii="宋体" w:hAnsi="宋体" w:eastAsia="宋体" w:cs="宋体"/>
          <w:color w:val="auto"/>
          <w:sz w:val="30"/>
          <w:szCs w:val="30"/>
        </w:rPr>
        <w:t>在读硕士研究生</w:t>
      </w: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人、护士</w:t>
      </w:r>
      <w:r>
        <w:rPr>
          <w:rFonts w:hint="eastAsia" w:ascii="宋体" w:hAnsi="宋体" w:eastAsia="宋体" w:cs="宋体"/>
          <w:color w:val="auto"/>
          <w:sz w:val="30"/>
          <w:szCs w:val="30"/>
          <w:lang w:val="en-US" w:eastAsia="zh-CN"/>
        </w:rPr>
        <w:t>30</w:t>
      </w:r>
      <w:r>
        <w:rPr>
          <w:rFonts w:hint="eastAsia" w:ascii="宋体" w:hAnsi="宋体" w:eastAsia="宋体" w:cs="宋体"/>
          <w:color w:val="auto"/>
          <w:sz w:val="30"/>
          <w:szCs w:val="30"/>
        </w:rPr>
        <w:t>名</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护理队伍年轻化、知识化，90％本科以上学历）</w:t>
      </w:r>
      <w:r>
        <w:rPr>
          <w:rFonts w:hint="eastAsia" w:ascii="宋体" w:hAnsi="宋体" w:eastAsia="宋体" w:cs="宋体"/>
          <w:sz w:val="30"/>
          <w:szCs w:val="30"/>
          <w:lang w:eastAsia="zh-CN"/>
        </w:rPr>
        <w:t>；</w:t>
      </w:r>
      <w:r>
        <w:rPr>
          <w:rFonts w:hint="eastAsia" w:ascii="宋体" w:hAnsi="宋体" w:eastAsia="宋体" w:cs="宋体"/>
          <w:sz w:val="30"/>
          <w:szCs w:val="30"/>
        </w:rPr>
        <w:t>药师</w:t>
      </w:r>
      <w:r>
        <w:rPr>
          <w:rFonts w:hint="eastAsia" w:ascii="宋体" w:hAnsi="宋体" w:eastAsia="宋体" w:cs="宋体"/>
          <w:sz w:val="30"/>
          <w:szCs w:val="30"/>
          <w:lang w:val="en-US" w:eastAsia="zh-CN"/>
        </w:rPr>
        <w:t>1</w:t>
      </w:r>
      <w:r>
        <w:rPr>
          <w:rFonts w:hint="eastAsia" w:ascii="宋体" w:hAnsi="宋体" w:eastAsia="宋体" w:cs="宋体"/>
          <w:sz w:val="30"/>
          <w:szCs w:val="30"/>
        </w:rPr>
        <w:t>名和行政后勤人员</w:t>
      </w:r>
      <w:r>
        <w:rPr>
          <w:rFonts w:hint="eastAsia" w:ascii="宋体" w:hAnsi="宋体" w:eastAsia="宋体" w:cs="宋体"/>
          <w:sz w:val="30"/>
          <w:szCs w:val="30"/>
          <w:lang w:val="en-US" w:eastAsia="zh-CN"/>
        </w:rPr>
        <w:t>14</w:t>
      </w:r>
      <w:r>
        <w:rPr>
          <w:rFonts w:hint="eastAsia" w:ascii="宋体" w:hAnsi="宋体" w:eastAsia="宋体" w:cs="宋体"/>
          <w:sz w:val="30"/>
          <w:szCs w:val="30"/>
        </w:rPr>
        <w:t>名（综合办</w:t>
      </w:r>
      <w:r>
        <w:rPr>
          <w:rFonts w:hint="eastAsia" w:ascii="宋体" w:hAnsi="宋体" w:eastAsia="宋体" w:cs="宋体"/>
          <w:sz w:val="30"/>
          <w:szCs w:val="30"/>
          <w:lang w:val="en-US" w:eastAsia="zh-CN"/>
        </w:rPr>
        <w:t>5</w:t>
      </w:r>
      <w:r>
        <w:rPr>
          <w:rFonts w:hint="eastAsia" w:ascii="宋体" w:hAnsi="宋体" w:eastAsia="宋体" w:cs="宋体"/>
          <w:sz w:val="30"/>
          <w:szCs w:val="30"/>
        </w:rPr>
        <w:t>名、驾驶员1名，财务人员3名、收费员2名、后勤办</w:t>
      </w:r>
      <w:r>
        <w:rPr>
          <w:rFonts w:hint="eastAsia" w:ascii="宋体" w:hAnsi="宋体" w:eastAsia="宋体" w:cs="宋体"/>
          <w:sz w:val="30"/>
          <w:szCs w:val="30"/>
          <w:lang w:val="en-US" w:eastAsia="zh-CN"/>
        </w:rPr>
        <w:t>1</w:t>
      </w:r>
      <w:r>
        <w:rPr>
          <w:rFonts w:hint="eastAsia" w:ascii="宋体" w:hAnsi="宋体" w:eastAsia="宋体" w:cs="宋体"/>
          <w:sz w:val="30"/>
          <w:szCs w:val="30"/>
        </w:rPr>
        <w:t>名、电工2名）</w:t>
      </w:r>
      <w:r>
        <w:rPr>
          <w:rFonts w:hint="eastAsia" w:ascii="宋体" w:hAnsi="宋体" w:eastAsia="宋体" w:cs="宋体"/>
          <w:sz w:val="30"/>
          <w:szCs w:val="30"/>
          <w:lang w:eastAsia="zh-CN"/>
        </w:rPr>
        <w:t>；艾滋病管理办公室专职人员</w:t>
      </w:r>
      <w:r>
        <w:rPr>
          <w:rFonts w:hint="eastAsia" w:ascii="宋体" w:hAnsi="宋体" w:eastAsia="宋体" w:cs="宋体"/>
          <w:sz w:val="30"/>
          <w:szCs w:val="30"/>
          <w:lang w:val="en-US" w:eastAsia="zh-CN"/>
        </w:rPr>
        <w:t>8名。</w:t>
      </w:r>
      <w:bookmarkEnd w:id="14"/>
      <w:bookmarkEnd w:id="15"/>
    </w:p>
    <w:p w14:paraId="30C82B42">
      <w:pPr>
        <w:pStyle w:val="2"/>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16"/>
      <w:bookmarkEnd w:id="17"/>
    </w:p>
    <w:p w14:paraId="7441CBA3"/>
    <w:p w14:paraId="1C667B2F">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14:paraId="0CA85EC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lang w:val="en-US" w:eastAsia="zh-CN"/>
        </w:rPr>
        <w:t>2760.22</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val="en-US" w:eastAsia="zh-CN"/>
        </w:rPr>
        <w:t>减少511.86</w:t>
      </w:r>
      <w:r>
        <w:rPr>
          <w:rFonts w:hint="eastAsia" w:ascii="仿宋" w:hAnsi="仿宋" w:eastAsia="仿宋"/>
          <w:sz w:val="32"/>
          <w:szCs w:val="32"/>
        </w:rPr>
        <w:t>万元，</w:t>
      </w:r>
      <w:r>
        <w:rPr>
          <w:rFonts w:hint="eastAsia" w:ascii="仿宋" w:hAnsi="仿宋" w:eastAsia="仿宋"/>
          <w:sz w:val="32"/>
          <w:szCs w:val="32"/>
          <w:lang w:val="en-US" w:eastAsia="zh-CN"/>
        </w:rPr>
        <w:t>下降15.64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较上年新冠疫情专项经费财政拨款减少导致</w:t>
      </w:r>
      <w:r>
        <w:rPr>
          <w:rFonts w:hint="eastAsia" w:ascii="仿宋" w:hAnsi="仿宋" w:eastAsia="仿宋"/>
          <w:sz w:val="32"/>
          <w:szCs w:val="32"/>
        </w:rPr>
        <w:t>。</w:t>
      </w:r>
    </w:p>
    <w:p w14:paraId="11269E67">
      <w:pPr>
        <w:spacing w:line="600" w:lineRule="exact"/>
        <w:ind w:firstLine="640" w:firstLineChars="200"/>
        <w:rPr>
          <w:rFonts w:hint="eastAsia" w:ascii="仿宋" w:hAnsi="仿宋" w:eastAsia="仿宋"/>
          <w:sz w:val="32"/>
          <w:szCs w:val="32"/>
        </w:rPr>
      </w:pPr>
    </w:p>
    <w:p w14:paraId="6D8A252C">
      <w:pPr>
        <w:spacing w:line="600" w:lineRule="exact"/>
        <w:ind w:firstLine="640" w:firstLineChars="200"/>
        <w:rPr>
          <w:rFonts w:hint="eastAsia"/>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237F0DED">
      <w:pPr>
        <w:pStyle w:val="18"/>
      </w:pPr>
      <w:r>
        <w:drawing>
          <wp:inline distT="0" distB="0" distL="114300" distR="114300">
            <wp:extent cx="4826000" cy="2583815"/>
            <wp:effectExtent l="4445" t="4445" r="8255" b="2159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2334E50"/>
    <w:p w14:paraId="7F554D0D">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14:paraId="421713F7">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b/>
          <w:sz w:val="32"/>
          <w:szCs w:val="32"/>
          <w:lang w:val="en-US" w:eastAsia="zh-CN"/>
        </w:rPr>
        <w:t>2760.22</w:t>
      </w:r>
      <w:r>
        <w:rPr>
          <w:rFonts w:hint="eastAsia" w:ascii="仿宋" w:hAnsi="仿宋" w:eastAsia="仿宋"/>
          <w:sz w:val="32"/>
          <w:szCs w:val="32"/>
        </w:rPr>
        <w:t>万元，其中：一般公共预算财政拨款收入</w:t>
      </w:r>
      <w:r>
        <w:rPr>
          <w:rFonts w:hint="eastAsia" w:ascii="仿宋" w:hAnsi="仿宋" w:eastAsia="仿宋"/>
          <w:b/>
          <w:sz w:val="32"/>
          <w:szCs w:val="32"/>
          <w:lang w:val="en-US" w:eastAsia="zh-CN"/>
        </w:rPr>
        <w:t>272.46</w:t>
      </w:r>
      <w:r>
        <w:rPr>
          <w:rFonts w:hint="eastAsia" w:ascii="仿宋" w:hAnsi="仿宋" w:eastAsia="仿宋"/>
          <w:sz w:val="32"/>
          <w:szCs w:val="32"/>
        </w:rPr>
        <w:t>万元，占</w:t>
      </w:r>
      <w:r>
        <w:rPr>
          <w:rFonts w:ascii="仿宋" w:hAnsi="仿宋" w:eastAsia="仿宋"/>
          <w:b/>
          <w:sz w:val="32"/>
          <w:szCs w:val="32"/>
        </w:rPr>
        <w:t>9.8</w:t>
      </w:r>
      <w:r>
        <w:rPr>
          <w:rFonts w:hint="eastAsia" w:ascii="仿宋" w:hAnsi="仿宋" w:eastAsia="仿宋"/>
          <w:b/>
          <w:sz w:val="32"/>
          <w:szCs w:val="32"/>
          <w:lang w:val="en-US" w:eastAsia="zh-CN"/>
        </w:rPr>
        <w:t>7</w:t>
      </w:r>
      <w:r>
        <w:rPr>
          <w:rFonts w:ascii="仿宋" w:hAnsi="仿宋" w:eastAsia="仿宋"/>
          <w:b/>
          <w:sz w:val="32"/>
          <w:szCs w:val="32"/>
        </w:rPr>
        <w:t>%</w:t>
      </w:r>
      <w:r>
        <w:rPr>
          <w:rFonts w:hint="eastAsia" w:ascii="仿宋" w:hAnsi="仿宋" w:eastAsia="仿宋"/>
          <w:sz w:val="32"/>
          <w:szCs w:val="32"/>
        </w:rPr>
        <w:t>；事业收入</w:t>
      </w:r>
      <w:r>
        <w:rPr>
          <w:rFonts w:hint="eastAsia" w:ascii="仿宋" w:hAnsi="仿宋" w:eastAsia="仿宋"/>
          <w:b/>
          <w:sz w:val="32"/>
          <w:szCs w:val="32"/>
          <w:lang w:val="en-US" w:eastAsia="zh-CN"/>
        </w:rPr>
        <w:t>1834.16</w:t>
      </w:r>
      <w:r>
        <w:rPr>
          <w:rFonts w:hint="eastAsia" w:ascii="仿宋" w:hAnsi="仿宋" w:eastAsia="仿宋"/>
          <w:sz w:val="32"/>
          <w:szCs w:val="32"/>
        </w:rPr>
        <w:t>万元，占</w:t>
      </w:r>
      <w:r>
        <w:rPr>
          <w:rFonts w:hint="eastAsia" w:ascii="仿宋" w:hAnsi="仿宋" w:eastAsia="仿宋"/>
          <w:b/>
          <w:sz w:val="32"/>
          <w:szCs w:val="32"/>
          <w:lang w:val="en-US" w:eastAsia="zh-CN"/>
        </w:rPr>
        <w:t>66.45</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b/>
          <w:sz w:val="32"/>
          <w:szCs w:val="32"/>
          <w:lang w:val="en-US" w:eastAsia="zh-CN"/>
        </w:rPr>
        <w:t>653.60</w:t>
      </w:r>
      <w:r>
        <w:rPr>
          <w:rFonts w:hint="eastAsia" w:ascii="仿宋" w:hAnsi="仿宋" w:eastAsia="仿宋"/>
          <w:sz w:val="32"/>
          <w:szCs w:val="32"/>
        </w:rPr>
        <w:t>万元，占</w:t>
      </w:r>
      <w:r>
        <w:rPr>
          <w:rFonts w:hint="eastAsia" w:ascii="仿宋" w:hAnsi="仿宋" w:eastAsia="仿宋"/>
          <w:b/>
          <w:sz w:val="32"/>
          <w:szCs w:val="32"/>
          <w:lang w:val="en-US" w:eastAsia="zh-CN"/>
        </w:rPr>
        <w:t>23.68</w:t>
      </w:r>
      <w:r>
        <w:rPr>
          <w:rFonts w:ascii="仿宋" w:hAnsi="仿宋" w:eastAsia="仿宋"/>
          <w:sz w:val="32"/>
          <w:szCs w:val="32"/>
        </w:rPr>
        <w:t>%</w:t>
      </w:r>
    </w:p>
    <w:p w14:paraId="0E2C0AAF">
      <w:pPr>
        <w:spacing w:line="600" w:lineRule="exact"/>
        <w:rPr>
          <w:rFonts w:hint="eastAsia" w:ascii="仿宋" w:hAnsi="仿宋" w:eastAsia="仿宋"/>
          <w:sz w:val="32"/>
          <w:szCs w:val="32"/>
        </w:rPr>
      </w:pPr>
      <w:r>
        <w:rPr>
          <w:rFonts w:hint="eastAsia" w:ascii="仿宋" w:hAnsi="仿宋" w:eastAsia="仿宋"/>
          <w:sz w:val="32"/>
          <w:szCs w:val="32"/>
        </w:rPr>
        <w:t>（图2：收入决算结构图）</w:t>
      </w:r>
    </w:p>
    <w:p w14:paraId="454C98BE">
      <w:pPr>
        <w:pStyle w:val="18"/>
      </w:pPr>
    </w:p>
    <w:p w14:paraId="3A308E82">
      <w:pPr>
        <w:ind w:left="420" w:leftChars="200" w:firstLine="0" w:firstLineChars="0"/>
        <w:jc w:val="center"/>
      </w:pPr>
      <w:r>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2AFAFC">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14:paraId="061917C4">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sz w:val="32"/>
          <w:szCs w:val="32"/>
          <w:lang w:val="en-US" w:eastAsia="zh-CN"/>
        </w:rPr>
        <w:t>2760.22</w:t>
      </w:r>
      <w:r>
        <w:rPr>
          <w:rFonts w:hint="eastAsia" w:ascii="仿宋" w:hAnsi="仿宋" w:eastAsia="仿宋"/>
          <w:sz w:val="32"/>
          <w:szCs w:val="32"/>
        </w:rPr>
        <w:t>万元，其中：基本支出</w:t>
      </w:r>
      <w:r>
        <w:rPr>
          <w:rFonts w:hint="eastAsia" w:ascii="仿宋" w:hAnsi="仿宋" w:eastAsia="仿宋"/>
          <w:b/>
          <w:sz w:val="32"/>
          <w:szCs w:val="32"/>
          <w:lang w:val="en-US" w:eastAsia="zh-CN"/>
        </w:rPr>
        <w:t>2487.76</w:t>
      </w:r>
      <w:r>
        <w:rPr>
          <w:rFonts w:hint="eastAsia" w:ascii="仿宋" w:hAnsi="仿宋" w:eastAsia="仿宋"/>
          <w:sz w:val="32"/>
          <w:szCs w:val="32"/>
        </w:rPr>
        <w:t>万元，占</w:t>
      </w:r>
      <w:r>
        <w:rPr>
          <w:rFonts w:ascii="仿宋" w:hAnsi="仿宋" w:eastAsia="仿宋"/>
          <w:b/>
          <w:sz w:val="32"/>
          <w:szCs w:val="32"/>
        </w:rPr>
        <w:t>90.1</w:t>
      </w:r>
      <w:r>
        <w:rPr>
          <w:rFonts w:hint="eastAsia" w:ascii="仿宋" w:hAnsi="仿宋" w:eastAsia="仿宋"/>
          <w:b/>
          <w:sz w:val="32"/>
          <w:szCs w:val="32"/>
          <w:lang w:val="en-US" w:eastAsia="zh-CN"/>
        </w:rPr>
        <w:t>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272.46</w:t>
      </w:r>
      <w:r>
        <w:rPr>
          <w:rFonts w:hint="eastAsia" w:ascii="仿宋" w:hAnsi="仿宋" w:eastAsia="仿宋"/>
          <w:sz w:val="32"/>
          <w:szCs w:val="32"/>
        </w:rPr>
        <w:t>万元，占</w:t>
      </w:r>
      <w:r>
        <w:rPr>
          <w:rFonts w:ascii="仿宋" w:hAnsi="仿宋" w:eastAsia="仿宋"/>
          <w:b/>
          <w:sz w:val="32"/>
          <w:szCs w:val="32"/>
        </w:rPr>
        <w:t>9.8</w:t>
      </w:r>
      <w:r>
        <w:rPr>
          <w:rFonts w:hint="eastAsia" w:ascii="仿宋" w:hAnsi="仿宋" w:eastAsia="仿宋"/>
          <w:b/>
          <w:sz w:val="32"/>
          <w:szCs w:val="32"/>
          <w:lang w:val="en-US" w:eastAsia="zh-CN"/>
        </w:rPr>
        <w:t>7</w:t>
      </w:r>
      <w:r>
        <w:rPr>
          <w:rFonts w:ascii="仿宋" w:hAnsi="仿宋" w:eastAsia="仿宋"/>
          <w:sz w:val="32"/>
          <w:szCs w:val="32"/>
        </w:rPr>
        <w:t>%</w:t>
      </w:r>
      <w:r>
        <w:rPr>
          <w:rFonts w:hint="eastAsia" w:ascii="仿宋" w:hAnsi="仿宋" w:eastAsia="仿宋"/>
          <w:sz w:val="32"/>
          <w:szCs w:val="32"/>
        </w:rPr>
        <w:t>；</w:t>
      </w:r>
    </w:p>
    <w:p w14:paraId="74F5598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w:t>
      </w:r>
    </w:p>
    <w:p w14:paraId="6B86DF92">
      <w:pPr>
        <w:pStyle w:val="18"/>
        <w:jc w:val="both"/>
        <w:rPr>
          <w:rFonts w:hint="eastAsia" w:eastAsia="仿宋"/>
          <w:lang w:eastAsia="zh-CN"/>
        </w:rPr>
      </w:pPr>
      <w:r>
        <w:drawing>
          <wp:inline distT="0" distB="0" distL="114300" distR="114300">
            <wp:extent cx="5702300" cy="2705100"/>
            <wp:effectExtent l="4445" t="4445" r="8255" b="1460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7623EB">
      <w:pPr>
        <w:spacing w:line="600" w:lineRule="exact"/>
        <w:outlineLvl w:val="1"/>
        <w:rPr>
          <w:rFonts w:hint="eastAsia" w:ascii="黑体" w:hAnsi="黑体" w:eastAsia="黑体"/>
          <w:sz w:val="32"/>
          <w:szCs w:val="32"/>
        </w:rPr>
      </w:pPr>
      <w:bookmarkStart w:id="24" w:name="_Toc15377208"/>
      <w:bookmarkStart w:id="25" w:name="_Toc15396606"/>
    </w:p>
    <w:p w14:paraId="6CCA4BDF">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14:paraId="1C884F2B">
      <w:pPr>
        <w:spacing w:line="600" w:lineRule="exact"/>
        <w:ind w:firstLine="640"/>
        <w:rPr>
          <w:rFonts w:hint="default"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sz w:val="32"/>
          <w:szCs w:val="32"/>
          <w:lang w:val="en-US" w:eastAsia="zh-CN"/>
        </w:rPr>
        <w:t>272.46</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w:t>
      </w:r>
      <w:r>
        <w:rPr>
          <w:rFonts w:hint="eastAsia" w:ascii="仿宋" w:hAnsi="仿宋" w:eastAsia="仿宋"/>
          <w:sz w:val="32"/>
          <w:szCs w:val="32"/>
          <w:lang w:val="en-US" w:eastAsia="zh-CN"/>
        </w:rPr>
        <w:t>减少49.24</w:t>
      </w:r>
      <w:r>
        <w:rPr>
          <w:rFonts w:hint="eastAsia" w:ascii="仿宋" w:hAnsi="仿宋" w:eastAsia="仿宋"/>
          <w:sz w:val="32"/>
          <w:szCs w:val="32"/>
        </w:rPr>
        <w:t>万元，</w:t>
      </w:r>
      <w:r>
        <w:rPr>
          <w:rFonts w:hint="eastAsia" w:ascii="仿宋" w:hAnsi="仿宋" w:eastAsia="仿宋"/>
          <w:sz w:val="32"/>
          <w:szCs w:val="32"/>
          <w:lang w:val="en-US" w:eastAsia="zh-CN"/>
        </w:rPr>
        <w:t>下降15.31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减少新冠疫情专项经费。</w:t>
      </w:r>
    </w:p>
    <w:p w14:paraId="430BE799">
      <w:pPr>
        <w:spacing w:line="600" w:lineRule="exact"/>
        <w:ind w:left="639" w:leftChars="303" w:hanging="3" w:firstLineChars="0"/>
      </w:pPr>
      <w:r>
        <w:rPr>
          <w:rFonts w:hint="eastAsia" w:ascii="仿宋" w:hAnsi="仿宋" w:eastAsia="仿宋"/>
          <w:sz w:val="32"/>
          <w:szCs w:val="32"/>
        </w:rPr>
        <w:t>（图4：财政拨款收、支决算总计变动情况）</w:t>
      </w:r>
    </w:p>
    <w:p w14:paraId="38E37618"/>
    <w:p w14:paraId="364C064C">
      <w:pPr>
        <w:jc w:val="center"/>
      </w:pPr>
      <w:r>
        <w:drawing>
          <wp:inline distT="0" distB="0" distL="114300" distR="114300">
            <wp:extent cx="4826000" cy="2743200"/>
            <wp:effectExtent l="4445" t="4445" r="825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720646">
      <w:pPr>
        <w:spacing w:line="600" w:lineRule="exact"/>
        <w:ind w:firstLine="640"/>
        <w:rPr>
          <w:rFonts w:ascii="仿宋" w:hAnsi="仿宋" w:eastAsia="仿宋"/>
          <w:b/>
          <w:sz w:val="32"/>
          <w:szCs w:val="32"/>
        </w:rPr>
      </w:pPr>
    </w:p>
    <w:p w14:paraId="34CD328B">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14:paraId="34B05049">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347C06B1">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272.46</w:t>
      </w:r>
      <w:r>
        <w:rPr>
          <w:rFonts w:hint="eastAsia" w:ascii="仿宋" w:hAnsi="仿宋" w:eastAsia="仿宋"/>
          <w:sz w:val="32"/>
          <w:szCs w:val="32"/>
        </w:rPr>
        <w:t>万元，占本年支出合计的</w:t>
      </w:r>
      <w:r>
        <w:rPr>
          <w:rFonts w:ascii="仿宋" w:hAnsi="仿宋" w:eastAsia="仿宋"/>
          <w:b/>
          <w:sz w:val="32"/>
          <w:szCs w:val="32"/>
        </w:rPr>
        <w:t>9.8</w:t>
      </w:r>
      <w:r>
        <w:rPr>
          <w:rFonts w:hint="eastAsia" w:ascii="仿宋" w:hAnsi="仿宋" w:eastAsia="仿宋"/>
          <w:b/>
          <w:sz w:val="32"/>
          <w:szCs w:val="32"/>
          <w:lang w:val="en-US" w:eastAsia="zh-CN"/>
        </w:rPr>
        <w:t>7</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val="en-US" w:eastAsia="zh-CN"/>
        </w:rPr>
        <w:t>减少49.24</w:t>
      </w:r>
      <w:r>
        <w:rPr>
          <w:rFonts w:hint="eastAsia" w:ascii="仿宋" w:hAnsi="仿宋" w:eastAsia="仿宋"/>
          <w:sz w:val="32"/>
          <w:szCs w:val="32"/>
        </w:rPr>
        <w:t>万元，</w:t>
      </w:r>
      <w:r>
        <w:rPr>
          <w:rFonts w:hint="eastAsia" w:ascii="仿宋" w:hAnsi="仿宋" w:eastAsia="仿宋"/>
          <w:sz w:val="32"/>
          <w:szCs w:val="32"/>
          <w:lang w:val="en-US" w:eastAsia="zh-CN"/>
        </w:rPr>
        <w:t>下降15.31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减少新冠疫情专项经费。</w:t>
      </w:r>
    </w:p>
    <w:p w14:paraId="0A7F260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w:t>
      </w:r>
    </w:p>
    <w:p w14:paraId="4A5DBB3F">
      <w:pPr>
        <w:pStyle w:val="18"/>
      </w:pPr>
    </w:p>
    <w:p w14:paraId="4E3D1889">
      <w:pPr>
        <w:jc w:val="center"/>
      </w:pPr>
      <w:r>
        <w:drawing>
          <wp:inline distT="0" distB="0" distL="114300" distR="114300">
            <wp:extent cx="4826000" cy="2743200"/>
            <wp:effectExtent l="4445" t="4445" r="825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445291"/>
    <w:p w14:paraId="1CD86844"/>
    <w:p w14:paraId="15A3E23A">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2815C7F2">
      <w:pPr>
        <w:spacing w:line="600" w:lineRule="exact"/>
        <w:ind w:firstLine="640" w:firstLineChars="200"/>
        <w:outlineLvl w:val="2"/>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272.46</w:t>
      </w:r>
      <w:r>
        <w:rPr>
          <w:rFonts w:hint="eastAsia" w:ascii="仿宋" w:hAnsi="仿宋" w:eastAsia="仿宋"/>
          <w:sz w:val="32"/>
          <w:szCs w:val="32"/>
        </w:rPr>
        <w:t>万元，主要用于</w:t>
      </w:r>
      <w:r>
        <w:rPr>
          <w:rFonts w:hint="eastAsia" w:ascii="仿宋" w:hAnsi="仿宋" w:eastAsia="仿宋"/>
          <w:b/>
          <w:bCs/>
          <w:sz w:val="32"/>
          <w:szCs w:val="32"/>
        </w:rPr>
        <w:t>卫生健康支出</w:t>
      </w:r>
      <w:r>
        <w:rPr>
          <w:rFonts w:hint="eastAsia" w:ascii="仿宋" w:hAnsi="仿宋" w:eastAsia="仿宋"/>
          <w:b/>
          <w:sz w:val="32"/>
          <w:szCs w:val="32"/>
          <w:lang w:val="en-US" w:eastAsia="zh-CN"/>
        </w:rPr>
        <w:t>272.46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bookmarkStart w:id="30" w:name="_Toc15377212"/>
    </w:p>
    <w:p w14:paraId="039C9E10">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14:paraId="775F4A2C">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272.46</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76.45</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14:paraId="6DB056B5">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210</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02</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Fonts w:hint="eastAsia" w:ascii="仿宋" w:hAnsi="仿宋" w:eastAsia="仿宋"/>
          <w:b/>
          <w:sz w:val="32"/>
          <w:szCs w:val="32"/>
          <w:lang w:val="en-US" w:eastAsia="zh-CN"/>
        </w:rPr>
        <w:t>272.46</w:t>
      </w:r>
      <w:r>
        <w:rPr>
          <w:rStyle w:val="16"/>
          <w:rFonts w:hint="eastAsia" w:ascii="仿宋" w:hAnsi="仿宋" w:eastAsia="仿宋"/>
          <w:b w:val="0"/>
          <w:bCs/>
          <w:sz w:val="32"/>
          <w:szCs w:val="32"/>
        </w:rPr>
        <w:t>万元，完成预算</w:t>
      </w:r>
      <w:r>
        <w:rPr>
          <w:rStyle w:val="16"/>
          <w:rFonts w:hint="eastAsia" w:ascii="仿宋" w:hAnsi="仿宋" w:eastAsia="仿宋"/>
          <w:bCs/>
          <w:sz w:val="32"/>
          <w:szCs w:val="32"/>
          <w:lang w:val="en-US" w:eastAsia="zh-CN"/>
        </w:rPr>
        <w:t>76.45</w:t>
      </w:r>
      <w:r>
        <w:rPr>
          <w:rStyle w:val="16"/>
          <w:rFonts w:ascii="仿宋" w:hAnsi="仿宋" w:eastAsia="仿宋"/>
          <w:bCs/>
          <w:sz w:val="32"/>
          <w:szCs w:val="32"/>
        </w:rPr>
        <w:t>%</w:t>
      </w:r>
      <w:r>
        <w:rPr>
          <w:rStyle w:val="16"/>
          <w:rFonts w:hint="eastAsia" w:ascii="仿宋" w:hAnsi="仿宋" w:eastAsia="仿宋"/>
          <w:b w:val="0"/>
          <w:bCs/>
          <w:sz w:val="32"/>
          <w:szCs w:val="32"/>
        </w:rPr>
        <w:t>，决算数小于预算数的主要原因</w:t>
      </w:r>
      <w:r>
        <w:rPr>
          <w:rStyle w:val="16"/>
          <w:rFonts w:hint="eastAsia" w:ascii="仿宋" w:hAnsi="仿宋" w:eastAsia="仿宋"/>
          <w:b w:val="0"/>
          <w:bCs/>
          <w:sz w:val="32"/>
          <w:szCs w:val="32"/>
          <w:lang w:val="en-US" w:eastAsia="zh-CN"/>
        </w:rPr>
        <w:t>是支出使用上年年末结余资金，本年年末又收到追加专项经费部分未及时使用</w:t>
      </w:r>
      <w:r>
        <w:rPr>
          <w:rStyle w:val="16"/>
          <w:rFonts w:hint="eastAsia" w:ascii="仿宋" w:hAnsi="仿宋" w:eastAsia="仿宋"/>
          <w:b w:val="0"/>
          <w:bCs/>
          <w:sz w:val="32"/>
          <w:szCs w:val="32"/>
        </w:rPr>
        <w:t>。</w:t>
      </w:r>
    </w:p>
    <w:p w14:paraId="6BFA0DE8">
      <w:pPr>
        <w:spacing w:line="600" w:lineRule="exact"/>
        <w:ind w:firstLine="640"/>
        <w:rPr>
          <w:rFonts w:ascii="仿宋" w:hAnsi="仿宋" w:eastAsia="仿宋"/>
          <w:b/>
          <w:sz w:val="32"/>
          <w:szCs w:val="32"/>
        </w:rPr>
      </w:pPr>
    </w:p>
    <w:p w14:paraId="3B132AB7">
      <w:pPr>
        <w:tabs>
          <w:tab w:val="right" w:pos="8306"/>
        </w:tabs>
        <w:spacing w:line="600" w:lineRule="exact"/>
        <w:ind w:firstLine="640"/>
        <w:outlineLvl w:val="1"/>
        <w:rPr>
          <w:rStyle w:val="29"/>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72DC624C">
      <w:pPr>
        <w:spacing w:line="600" w:lineRule="exact"/>
        <w:ind w:firstLine="645"/>
        <w:rPr>
          <w:rFonts w:hint="default" w:ascii="仿宋" w:hAnsi="仿宋" w:eastAsia="仿宋"/>
          <w:b/>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ascii="仿宋" w:hAnsi="仿宋" w:eastAsia="仿宋"/>
          <w:b/>
          <w:sz w:val="32"/>
          <w:szCs w:val="32"/>
        </w:rPr>
        <w:t>0</w:t>
      </w:r>
      <w:r>
        <w:rPr>
          <w:rFonts w:hint="eastAsia" w:ascii="仿宋" w:hAnsi="仿宋" w:eastAsia="仿宋"/>
          <w:sz w:val="32"/>
          <w:szCs w:val="32"/>
        </w:rPr>
        <w:t>万元，</w:t>
      </w:r>
      <w:r>
        <w:rPr>
          <w:rFonts w:hint="eastAsia" w:ascii="仿宋" w:hAnsi="仿宋" w:eastAsia="仿宋"/>
          <w:sz w:val="32"/>
          <w:szCs w:val="32"/>
          <w:lang w:val="en-US" w:eastAsia="zh-CN"/>
        </w:rPr>
        <w:t>本年度均按专项经费费核算，无基本经费。</w:t>
      </w:r>
    </w:p>
    <w:p w14:paraId="74E4C691">
      <w:pPr>
        <w:spacing w:line="600" w:lineRule="exact"/>
        <w:ind w:firstLine="640"/>
        <w:rPr>
          <w:rFonts w:ascii="仿宋" w:hAnsi="仿宋" w:eastAsia="仿宋"/>
          <w:b/>
          <w:sz w:val="32"/>
          <w:szCs w:val="32"/>
        </w:rPr>
      </w:pPr>
    </w:p>
    <w:p w14:paraId="3F0E4121">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14:paraId="642D5527">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3B88DDAD">
      <w:pPr>
        <w:spacing w:line="600" w:lineRule="exact"/>
        <w:ind w:firstLine="640"/>
        <w:rPr>
          <w:rFonts w:hint="eastAsia" w:ascii="仿宋" w:hAnsi="仿宋" w:eastAsia="仿宋"/>
          <w:b/>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w:t>
      </w:r>
      <w:r>
        <w:rPr>
          <w:rFonts w:hint="eastAsia" w:ascii="仿宋" w:hAnsi="仿宋" w:eastAsia="仿宋"/>
          <w:sz w:val="32"/>
          <w:szCs w:val="32"/>
          <w:lang w:eastAsia="zh-CN"/>
        </w:rPr>
        <w:t>。</w:t>
      </w:r>
    </w:p>
    <w:p w14:paraId="5209F0EC">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31BF4A51">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无。</w:t>
      </w:r>
    </w:p>
    <w:p w14:paraId="02C580AA">
      <w:pPr>
        <w:spacing w:line="600" w:lineRule="exact"/>
        <w:ind w:firstLine="640"/>
        <w:rPr>
          <w:rFonts w:ascii="仿宋_GB2312" w:eastAsia="仿宋_GB2312"/>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p>
    <w:p w14:paraId="26CA9A38">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p>
    <w:p w14:paraId="3F5F3110">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p>
    <w:p w14:paraId="34E60BD1">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6C41BBF0">
      <w:pPr>
        <w:spacing w:line="600"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p>
    <w:p w14:paraId="21A64FFF">
      <w:pPr>
        <w:spacing w:line="600" w:lineRule="exact"/>
        <w:ind w:firstLine="640"/>
        <w:outlineLvl w:val="1"/>
        <w:rPr>
          <w:rFonts w:ascii="黑体" w:eastAsia="黑体"/>
          <w:sz w:val="32"/>
          <w:szCs w:val="32"/>
        </w:rPr>
      </w:pPr>
    </w:p>
    <w:p w14:paraId="693E0503">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14:paraId="668DCBDE">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573365E7">
      <w:pPr>
        <w:spacing w:line="600" w:lineRule="exact"/>
        <w:ind w:firstLine="640"/>
        <w:rPr>
          <w:rFonts w:ascii="仿宋_GB2312" w:eastAsia="仿宋_GB2312"/>
          <w:sz w:val="32"/>
          <w:szCs w:val="32"/>
        </w:rPr>
      </w:pPr>
    </w:p>
    <w:p w14:paraId="522E28AC">
      <w:pPr>
        <w:numPr>
          <w:ilvl w:val="0"/>
          <w:numId w:val="3"/>
        </w:numPr>
        <w:spacing w:line="600" w:lineRule="exact"/>
        <w:ind w:firstLine="640"/>
        <w:outlineLvl w:val="1"/>
        <w:rPr>
          <w:rStyle w:val="29"/>
          <w:rFonts w:ascii="黑体" w:hAnsi="黑体" w:eastAsia="黑体"/>
          <w:b w:val="0"/>
        </w:rPr>
      </w:pPr>
      <w:bookmarkStart w:id="42" w:name="_Toc15396611"/>
      <w:bookmarkStart w:id="43" w:name="_Toc15377219"/>
      <w:r>
        <w:rPr>
          <w:rStyle w:val="29"/>
          <w:rFonts w:hint="eastAsia" w:ascii="黑体" w:hAnsi="黑体" w:eastAsia="黑体"/>
          <w:b w:val="0"/>
        </w:rPr>
        <w:t>国有资本经营预算支出决算情况说明</w:t>
      </w:r>
      <w:bookmarkEnd w:id="42"/>
      <w:bookmarkEnd w:id="43"/>
    </w:p>
    <w:p w14:paraId="7420142D">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43741086">
      <w:pPr>
        <w:spacing w:line="580" w:lineRule="exact"/>
        <w:jc w:val="center"/>
        <w:rPr>
          <w:rFonts w:ascii="方正小标宋简体" w:hAnsi="方正小标宋简体" w:eastAsia="方正小标宋简体" w:cs="方正小标宋简体"/>
          <w:sz w:val="44"/>
          <w:szCs w:val="44"/>
        </w:rPr>
      </w:pPr>
    </w:p>
    <w:p w14:paraId="46DD39DF">
      <w:pPr>
        <w:numPr>
          <w:ilvl w:val="0"/>
          <w:numId w:val="3"/>
        </w:numPr>
        <w:spacing w:line="600" w:lineRule="exact"/>
        <w:ind w:firstLine="640"/>
        <w:outlineLvl w:val="1"/>
        <w:rPr>
          <w:rStyle w:val="29"/>
          <w:rFonts w:ascii="黑体" w:hAnsi="黑体" w:eastAsia="黑体"/>
          <w:b w:val="0"/>
        </w:rPr>
      </w:pPr>
      <w:bookmarkStart w:id="44" w:name="_Toc15377221"/>
      <w:bookmarkStart w:id="45" w:name="_Toc15396612"/>
      <w:r>
        <w:rPr>
          <w:rStyle w:val="29"/>
          <w:rFonts w:hint="eastAsia" w:ascii="黑体" w:hAnsi="黑体" w:eastAsia="黑体"/>
          <w:b w:val="0"/>
        </w:rPr>
        <w:t>其他重要事项的情况说明</w:t>
      </w:r>
      <w:bookmarkEnd w:id="44"/>
      <w:bookmarkEnd w:id="45"/>
    </w:p>
    <w:p w14:paraId="6F065C68">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4E646C3D">
      <w:pPr>
        <w:spacing w:line="600" w:lineRule="exact"/>
        <w:ind w:firstLine="640" w:firstLineChars="200"/>
        <w:rPr>
          <w:rFonts w:hint="eastAsia" w:ascii="仿宋" w:hAnsi="仿宋" w:eastAsia="仿宋"/>
          <w:b/>
          <w:sz w:val="32"/>
          <w:szCs w:val="32"/>
          <w:lang w:eastAsia="zh-CN"/>
        </w:rPr>
      </w:pPr>
      <w:r>
        <w:rPr>
          <w:rFonts w:hint="eastAsia" w:ascii="仿宋_GB2312" w:eastAsia="仿宋_GB2312"/>
          <w:sz w:val="32"/>
          <w:szCs w:val="32"/>
          <w:lang w:val="en-US" w:eastAsia="zh-CN"/>
        </w:rPr>
        <w:t>无。</w:t>
      </w:r>
    </w:p>
    <w:p w14:paraId="48FE6025">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5E7A9DE2">
      <w:pPr>
        <w:autoSpaceDE w:val="0"/>
        <w:autoSpaceDN w:val="0"/>
        <w:adjustRightInd w:val="0"/>
        <w:spacing w:line="600" w:lineRule="exact"/>
        <w:ind w:firstLine="640" w:firstLineChars="200"/>
        <w:jc w:val="left"/>
        <w:outlineLvl w:val="2"/>
        <w:rPr>
          <w:rFonts w:hint="eastAsia" w:ascii="仿宋_GB2312" w:eastAsia="仿宋_GB2312"/>
          <w:sz w:val="32"/>
          <w:szCs w:val="32"/>
          <w:lang w:val="en-US" w:eastAsia="zh-CN"/>
        </w:rPr>
      </w:pPr>
      <w:bookmarkStart w:id="48" w:name="_Toc15377224"/>
      <w:r>
        <w:rPr>
          <w:rFonts w:hint="eastAsia" w:ascii="仿宋_GB2312" w:eastAsia="仿宋_GB2312"/>
          <w:sz w:val="32"/>
          <w:szCs w:val="32"/>
          <w:lang w:val="en-US" w:eastAsia="zh-CN"/>
        </w:rPr>
        <w:t>无。</w:t>
      </w:r>
    </w:p>
    <w:p w14:paraId="0F6F6F9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48"/>
    </w:p>
    <w:p w14:paraId="43523722">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遂宁市</w:t>
      </w:r>
      <w:r>
        <w:rPr>
          <w:rFonts w:hint="eastAsia" w:ascii="仿宋_GB2312" w:eastAsia="仿宋_GB2312"/>
          <w:b/>
          <w:sz w:val="32"/>
          <w:szCs w:val="32"/>
          <w:lang w:val="en-US" w:eastAsia="zh-CN"/>
        </w:rPr>
        <w:t>第四人民</w:t>
      </w:r>
      <w:r>
        <w:rPr>
          <w:rFonts w:ascii="仿宋_GB2312" w:eastAsia="仿宋_GB2312"/>
          <w:b/>
          <w:sz w:val="32"/>
          <w:szCs w:val="32"/>
        </w:rPr>
        <w:t>医院</w:t>
      </w:r>
      <w:r>
        <w:rPr>
          <w:rFonts w:hint="eastAsia" w:ascii="仿宋_GB2312" w:eastAsia="仿宋_GB2312"/>
          <w:sz w:val="32"/>
          <w:szCs w:val="32"/>
        </w:rPr>
        <w:t>共有车辆</w:t>
      </w:r>
      <w:r>
        <w:rPr>
          <w:rFonts w:hint="eastAsia" w:ascii="仿宋_GB2312" w:eastAsia="仿宋_GB2312"/>
          <w:b/>
          <w:sz w:val="32"/>
          <w:szCs w:val="32"/>
          <w:lang w:val="en-US" w:eastAsia="zh-CN"/>
        </w:rPr>
        <w:t>4</w:t>
      </w:r>
      <w:r>
        <w:rPr>
          <w:rFonts w:hint="eastAsia" w:ascii="仿宋_GB2312" w:eastAsia="仿宋_GB2312"/>
          <w:sz w:val="32"/>
          <w:szCs w:val="32"/>
        </w:rPr>
        <w:t>辆，其中：</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4辆</w:t>
      </w:r>
      <w:r>
        <w:rPr>
          <w:rFonts w:hint="eastAsia" w:ascii="仿宋_GB2312" w:eastAsia="仿宋_GB2312"/>
          <w:color w:val="auto"/>
          <w:sz w:val="32"/>
          <w:szCs w:val="32"/>
          <w:highlight w:val="none"/>
        </w:rPr>
        <w:t>主要是用于</w:t>
      </w:r>
      <w:r>
        <w:rPr>
          <w:rFonts w:hint="eastAsia" w:ascii="仿宋_GB2312" w:eastAsia="仿宋_GB2312"/>
          <w:color w:val="auto"/>
          <w:sz w:val="32"/>
          <w:szCs w:val="32"/>
          <w:highlight w:val="none"/>
          <w:lang w:eastAsia="zh-CN"/>
        </w:rPr>
        <w:t>转运病人的救护车</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w:t>
      </w:r>
      <w:r>
        <w:rPr>
          <w:rFonts w:hint="eastAsia" w:ascii="仿宋_GB2312" w:eastAsia="仿宋_GB2312"/>
          <w:sz w:val="32"/>
          <w:szCs w:val="32"/>
          <w:lang w:val="en-US" w:eastAsia="zh-CN"/>
        </w:rPr>
        <w:t>专用</w:t>
      </w:r>
      <w:r>
        <w:rPr>
          <w:rFonts w:hint="eastAsia" w:ascii="仿宋_GB2312" w:eastAsia="仿宋_GB2312"/>
          <w:sz w:val="32"/>
          <w:szCs w:val="32"/>
        </w:rPr>
        <w:t>设备</w:t>
      </w:r>
      <w:r>
        <w:rPr>
          <w:rFonts w:ascii="仿宋_GB2312" w:eastAsia="仿宋_GB2312"/>
          <w:b/>
          <w:sz w:val="32"/>
          <w:szCs w:val="32"/>
        </w:rPr>
        <w:t>1</w:t>
      </w:r>
      <w:r>
        <w:rPr>
          <w:rFonts w:hint="eastAsia" w:ascii="仿宋_GB2312" w:eastAsia="仿宋_GB2312"/>
          <w:sz w:val="32"/>
          <w:szCs w:val="32"/>
        </w:rPr>
        <w:t>台（套）。</w:t>
      </w:r>
    </w:p>
    <w:p w14:paraId="3AB05853">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1768E4E">
      <w:pPr>
        <w:spacing w:line="58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w:t>
      </w:r>
      <w:r>
        <w:rPr>
          <w:rFonts w:hint="eastAsia" w:ascii="仿宋_GB2312" w:hAnsi="仿宋_GB2312" w:eastAsia="仿宋_GB2312" w:cs="仿宋_GB2312"/>
          <w:sz w:val="32"/>
          <w:szCs w:val="32"/>
        </w:rPr>
        <w:t>根据预算绩效管理要求，本单位在年初预算编制阶段，对</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r>
        <w:rPr>
          <w:rFonts w:hint="eastAsia" w:ascii="仿宋_GB2312" w:hAnsi="仿宋_GB2312" w:eastAsia="仿宋_GB2312" w:cs="仿宋_GB2312"/>
          <w:sz w:val="32"/>
          <w:szCs w:val="32"/>
          <w:lang w:eastAsia="zh-CN"/>
        </w:rPr>
        <w:t>，</w:t>
      </w:r>
      <w:r>
        <w:rPr>
          <w:rFonts w:hint="eastAsia" w:ascii="仿宋_GB2312" w:eastAsia="仿宋_GB2312"/>
          <w:sz w:val="32"/>
          <w:szCs w:val="32"/>
        </w:rPr>
        <w:t>绩效自评表详见第四部分附件。</w:t>
      </w:r>
    </w:p>
    <w:p w14:paraId="18A97B0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年部门整体支出开展绩效自评，从评价情况来看，基本完成了绩效目标。本部门还自行组织了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个项目支出绩效评价，从评价情况来看，均达到绩效目标。</w:t>
      </w:r>
    </w:p>
    <w:p w14:paraId="61D42ECC">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传染病防治市级补助资金”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公立医院高质量发展专项资金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14:paraId="20013044">
      <w:pPr>
        <w:keepNext w:val="0"/>
        <w:keepLines w:val="0"/>
        <w:pageBreakBefore w:val="0"/>
        <w:widowControl w:val="0"/>
        <w:numPr>
          <w:ilvl w:val="0"/>
          <w:numId w:val="5"/>
        </w:numPr>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传染病防治市级补助资金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方正仿宋_GB2312" w:hAnsi="方正仿宋_GB2312" w:eastAsia="方正仿宋_GB2312" w:cs="方正仿宋_GB2312"/>
          <w:color w:val="auto"/>
          <w:sz w:val="32"/>
          <w:szCs w:val="32"/>
          <w:lang w:eastAsia="zh-CN"/>
        </w:rPr>
        <w:t>我</w:t>
      </w:r>
      <w:r>
        <w:rPr>
          <w:rFonts w:hint="eastAsia" w:ascii="方正仿宋_GB2312" w:hAnsi="方正仿宋_GB2312" w:eastAsia="方正仿宋_GB2312" w:cs="方正仿宋_GB2312"/>
          <w:color w:val="auto"/>
          <w:sz w:val="32"/>
          <w:szCs w:val="32"/>
          <w:lang w:val="en-US" w:eastAsia="zh-CN"/>
        </w:rPr>
        <w:t>院重大传染病防治项目为艾滋病、肺结核病两个，年</w:t>
      </w:r>
      <w:r>
        <w:rPr>
          <w:rFonts w:hint="eastAsia" w:ascii="方正仿宋_GB2312" w:hAnsi="方正仿宋_GB2312" w:eastAsia="方正仿宋_GB2312" w:cs="方正仿宋_GB2312"/>
          <w:color w:val="auto"/>
          <w:sz w:val="32"/>
          <w:szCs w:val="32"/>
          <w:lang w:eastAsia="zh-CN"/>
        </w:rPr>
        <w:t>底前全面完成项目任务，</w:t>
      </w:r>
      <w:r>
        <w:rPr>
          <w:rFonts w:hint="eastAsia" w:ascii="仿宋_GB2312" w:hAnsi="仿宋_GB2312" w:eastAsia="仿宋_GB2312" w:cs="仿宋_GB2312"/>
          <w:sz w:val="32"/>
          <w:szCs w:val="32"/>
        </w:rPr>
        <w:t>通过项目实施，</w:t>
      </w:r>
      <w:r>
        <w:rPr>
          <w:rFonts w:hint="eastAsia" w:ascii="方正仿宋_GB2312" w:hAnsi="方正仿宋_GB2312" w:eastAsia="方正仿宋_GB2312" w:cs="方正仿宋_GB2312"/>
          <w:color w:val="auto"/>
          <w:sz w:val="32"/>
          <w:szCs w:val="32"/>
          <w:lang w:eastAsia="zh-CN"/>
        </w:rPr>
        <w:t>实现艾滋病免费抗病毒治疗任务100%，肺结核患者治疗任务完成率≥85%，</w:t>
      </w:r>
      <w:r>
        <w:rPr>
          <w:rFonts w:hint="eastAsia" w:ascii="方正仿宋_GB2312" w:hAnsi="方正仿宋_GB2312" w:eastAsia="方正仿宋_GB2312" w:cs="方正仿宋_GB2312"/>
          <w:color w:val="auto"/>
          <w:sz w:val="32"/>
          <w:szCs w:val="32"/>
          <w:lang w:val="en-US" w:eastAsia="zh-CN"/>
        </w:rPr>
        <w:t>符合项目要求</w:t>
      </w:r>
      <w:r>
        <w:rPr>
          <w:rFonts w:hint="eastAsia" w:ascii="仿宋_GB2312" w:hAnsi="仿宋_GB2312" w:eastAsia="仿宋_GB2312" w:cs="仿宋_GB2312"/>
          <w:sz w:val="32"/>
          <w:szCs w:val="32"/>
        </w:rPr>
        <w:t>。</w:t>
      </w:r>
    </w:p>
    <w:p w14:paraId="426A7CD5">
      <w:pPr>
        <w:pStyle w:val="5"/>
        <w:numPr>
          <w:ilvl w:val="0"/>
          <w:numId w:val="5"/>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公立医院高质量发展专项资金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项目绩效目标完成情况综述。项目全年预算数</w:t>
      </w:r>
      <w:r>
        <w:rPr>
          <w:rFonts w:hint="eastAsia" w:hAnsi="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hAnsi="仿宋_GB2312" w:cs="仿宋_GB2312"/>
          <w:sz w:val="32"/>
          <w:szCs w:val="32"/>
          <w:lang w:val="en-US" w:eastAsia="zh-CN"/>
        </w:rPr>
        <w:t>10</w:t>
      </w:r>
      <w:r>
        <w:rPr>
          <w:rFonts w:hint="eastAsia" w:ascii="仿宋_GB2312" w:hAnsi="仿宋_GB2312" w:eastAsia="仿宋_GB2312" w:cs="仿宋_GB2312"/>
          <w:sz w:val="32"/>
          <w:szCs w:val="32"/>
        </w:rPr>
        <w:t>万元，完成预算的</w:t>
      </w:r>
      <w:r>
        <w:rPr>
          <w:rFonts w:hint="eastAsia" w:hAnsi="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 w:hAnsi="仿宋" w:eastAsia="仿宋" w:cs="仿宋"/>
          <w:color w:val="auto"/>
          <w:szCs w:val="32"/>
          <w:lang w:val="en-US" w:eastAsia="zh-CN"/>
        </w:rPr>
        <w:t>及时足额发放基本工资</w:t>
      </w:r>
      <w:r>
        <w:rPr>
          <w:rFonts w:hint="eastAsia" w:ascii="仿宋" w:hAnsi="仿宋" w:eastAsia="仿宋" w:cs="仿宋"/>
          <w:color w:val="auto"/>
          <w:szCs w:val="32"/>
          <w:lang w:eastAsia="zh-CN"/>
        </w:rPr>
        <w:t>，</w:t>
      </w:r>
      <w:r>
        <w:rPr>
          <w:rFonts w:hint="eastAsia" w:cs="Times New Roman"/>
          <w:color w:val="auto"/>
          <w:szCs w:val="32"/>
          <w:lang w:val="en-US" w:eastAsia="zh-CN"/>
        </w:rPr>
        <w:t>资金使用率</w:t>
      </w:r>
      <w:r>
        <w:rPr>
          <w:rFonts w:hint="eastAsia" w:ascii="Times New Roman" w:hAnsi="Times New Roman" w:cs="Times New Roman"/>
          <w:color w:val="auto"/>
          <w:szCs w:val="32"/>
          <w:lang w:eastAsia="zh-CN"/>
        </w:rPr>
        <w:t>100%，</w:t>
      </w:r>
      <w:r>
        <w:rPr>
          <w:rFonts w:hint="eastAsia" w:ascii="Times New Roman" w:hAnsi="Times New Roman" w:cs="Times New Roman"/>
          <w:color w:val="auto"/>
          <w:sz w:val="32"/>
          <w:szCs w:val="32"/>
          <w:lang w:eastAsia="zh-CN"/>
        </w:rPr>
        <w:t>实行党委领导下的院长负责制的公立医院100%，公立医院人员薪酬中稳定收入的比例≥30%，公立医院医务人员满意度88%。</w:t>
      </w:r>
    </w:p>
    <w:p w14:paraId="2ADF2C55">
      <w:pPr>
        <w:spacing w:line="600" w:lineRule="exact"/>
        <w:rPr>
          <w:rFonts w:ascii="仿宋_GB2312" w:eastAsia="仿宋_GB2312"/>
          <w:sz w:val="32"/>
          <w:szCs w:val="32"/>
        </w:rPr>
      </w:pPr>
    </w:p>
    <w:p w14:paraId="20AAAB4A">
      <w:pPr>
        <w:numPr>
          <w:ilvl w:val="0"/>
          <w:numId w:val="6"/>
        </w:numPr>
        <w:spacing w:line="600" w:lineRule="exact"/>
        <w:ind w:firstLine="660" w:firstLineChars="150"/>
        <w:jc w:val="center"/>
        <w:outlineLvl w:val="0"/>
        <w:rPr>
          <w:rStyle w:val="28"/>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8"/>
          <w:rFonts w:hint="eastAsia" w:ascii="黑体" w:hAnsi="黑体" w:eastAsia="黑体"/>
          <w:b w:val="0"/>
        </w:rPr>
        <w:t>词解释</w:t>
      </w:r>
      <w:bookmarkEnd w:id="49"/>
      <w:bookmarkEnd w:id="50"/>
    </w:p>
    <w:p w14:paraId="40FFCEA2">
      <w:pPr>
        <w:spacing w:line="600" w:lineRule="exact"/>
        <w:jc w:val="left"/>
        <w:rPr>
          <w:rFonts w:ascii="宋体"/>
          <w:b/>
          <w:sz w:val="44"/>
          <w:szCs w:val="44"/>
        </w:rPr>
      </w:pPr>
    </w:p>
    <w:p w14:paraId="4F90F67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125D3A8">
      <w:pPr>
        <w:pStyle w:val="26"/>
        <w:spacing w:line="56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17D5146B">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2A9AFFC0">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62A8AAAF">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48305CD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D2A7FF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630F60A">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78AA9A4F">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w:t>
      </w:r>
      <w:r>
        <w:rPr>
          <w:rFonts w:hint="eastAsia" w:ascii="仿宋_GB2312" w:eastAsia="仿宋_GB2312"/>
          <w:sz w:val="32"/>
          <w:szCs w:val="32"/>
          <w:lang w:eastAsia="zh-CN"/>
        </w:rPr>
        <w:t>（</w:t>
      </w:r>
      <w:r>
        <w:rPr>
          <w:rFonts w:hint="eastAsia" w:ascii="仿宋_GB2312" w:eastAsia="仿宋_GB2312"/>
          <w:sz w:val="32"/>
          <w:szCs w:val="32"/>
          <w:lang w:val="en-US" w:eastAsia="zh-CN"/>
        </w:rPr>
        <w:t>类）支出</w:t>
      </w:r>
      <w:r>
        <w:rPr>
          <w:rFonts w:hint="eastAsia" w:ascii="仿宋_GB2312" w:eastAsia="仿宋_GB2312"/>
          <w:sz w:val="32"/>
          <w:szCs w:val="32"/>
        </w:rPr>
        <w:t>：指政府提供一般公共服务的支出，包含发生的基本支出和项目支出。</w:t>
      </w:r>
    </w:p>
    <w:p w14:paraId="4EC39759">
      <w:pPr>
        <w:ind w:firstLine="640" w:firstLineChars="200"/>
        <w:rPr>
          <w:rFonts w:hint="default" w:ascii="仿宋_GB2312" w:eastAsia="仿宋_GB2312"/>
          <w:sz w:val="32"/>
          <w:szCs w:val="32"/>
          <w:lang w:val="en-US" w:eastAsia="zh-CN"/>
        </w:rPr>
      </w:pPr>
      <w:r>
        <w:rPr>
          <w:rFonts w:ascii="仿宋_GB2312" w:eastAsia="仿宋_GB2312"/>
          <w:sz w:val="32"/>
          <w:szCs w:val="32"/>
        </w:rPr>
        <w:t>10.</w:t>
      </w:r>
      <w:r>
        <w:rPr>
          <w:rFonts w:hint="eastAsia" w:ascii="仿宋_GB2312" w:eastAsia="仿宋_GB2312"/>
          <w:sz w:val="32"/>
          <w:szCs w:val="32"/>
        </w:rPr>
        <w:t>外交（类）</w:t>
      </w:r>
      <w:r>
        <w:rPr>
          <w:rFonts w:hint="eastAsia" w:ascii="仿宋_GB2312" w:eastAsia="仿宋_GB2312"/>
          <w:sz w:val="32"/>
          <w:szCs w:val="32"/>
          <w:lang w:val="en-US" w:eastAsia="zh-CN"/>
        </w:rPr>
        <w:t>支出</w:t>
      </w:r>
      <w:r>
        <w:rPr>
          <w:rFonts w:hint="eastAsia" w:ascii="仿宋_GB2312" w:eastAsia="仿宋_GB2312"/>
          <w:sz w:val="32"/>
          <w:szCs w:val="32"/>
        </w:rPr>
        <w:t>：指政府外交</w:t>
      </w:r>
      <w:r>
        <w:rPr>
          <w:rFonts w:hint="eastAsia" w:ascii="仿宋_GB2312" w:eastAsia="仿宋_GB2312"/>
          <w:sz w:val="32"/>
          <w:szCs w:val="32"/>
          <w:lang w:val="en-US" w:eastAsia="zh-CN"/>
        </w:rPr>
        <w:t>事务支出。</w:t>
      </w:r>
    </w:p>
    <w:p w14:paraId="7FCDF313">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w:t>
      </w:r>
      <w:r>
        <w:rPr>
          <w:rFonts w:hint="eastAsia" w:ascii="仿宋_GB2312" w:eastAsia="仿宋_GB2312"/>
          <w:sz w:val="32"/>
          <w:szCs w:val="32"/>
          <w:lang w:val="en-US" w:eastAsia="zh-CN"/>
        </w:rPr>
        <w:t>支出</w:t>
      </w:r>
      <w:r>
        <w:rPr>
          <w:rFonts w:hint="eastAsia" w:ascii="仿宋_GB2312" w:eastAsia="仿宋_GB2312"/>
          <w:sz w:val="32"/>
          <w:szCs w:val="32"/>
        </w:rPr>
        <w:t>：指政府</w:t>
      </w:r>
      <w:r>
        <w:rPr>
          <w:rFonts w:hint="eastAsia" w:ascii="仿宋_GB2312" w:eastAsia="仿宋_GB2312"/>
          <w:sz w:val="32"/>
          <w:szCs w:val="32"/>
          <w:lang w:val="en-US" w:eastAsia="zh-CN"/>
        </w:rPr>
        <w:t>维护社会公共安全方面的支出</w:t>
      </w:r>
      <w:r>
        <w:rPr>
          <w:rFonts w:hint="eastAsia" w:ascii="仿宋_GB2312" w:eastAsia="仿宋_GB2312"/>
          <w:sz w:val="32"/>
          <w:szCs w:val="32"/>
        </w:rPr>
        <w:t>。</w:t>
      </w:r>
    </w:p>
    <w:p w14:paraId="33D16DC7">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w:t>
      </w:r>
      <w:r>
        <w:rPr>
          <w:rFonts w:hint="eastAsia" w:ascii="仿宋_GB2312" w:eastAsia="仿宋_GB2312"/>
          <w:sz w:val="32"/>
          <w:szCs w:val="32"/>
          <w:lang w:val="en-US" w:eastAsia="zh-CN"/>
        </w:rPr>
        <w:t>支出</w:t>
      </w:r>
      <w:r>
        <w:rPr>
          <w:rFonts w:hint="eastAsia" w:ascii="仿宋_GB2312" w:eastAsia="仿宋_GB2312"/>
          <w:sz w:val="32"/>
          <w:szCs w:val="32"/>
        </w:rPr>
        <w:t>：指政府教育</w:t>
      </w:r>
      <w:r>
        <w:rPr>
          <w:rFonts w:hint="eastAsia" w:ascii="仿宋_GB2312" w:eastAsia="仿宋_GB2312"/>
          <w:sz w:val="32"/>
          <w:szCs w:val="32"/>
          <w:lang w:val="en-US" w:eastAsia="zh-CN"/>
        </w:rPr>
        <w:t xml:space="preserve">事务支出 </w:t>
      </w:r>
      <w:r>
        <w:rPr>
          <w:rFonts w:hint="eastAsia" w:ascii="仿宋_GB2312" w:eastAsia="仿宋_GB2312"/>
          <w:sz w:val="32"/>
          <w:szCs w:val="32"/>
        </w:rPr>
        <w:t>。</w:t>
      </w:r>
    </w:p>
    <w:p w14:paraId="16122C49">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w:t>
      </w:r>
      <w:r>
        <w:rPr>
          <w:rFonts w:hint="eastAsia" w:ascii="仿宋_GB2312" w:eastAsia="仿宋_GB2312"/>
          <w:sz w:val="32"/>
          <w:szCs w:val="32"/>
          <w:lang w:val="en-US" w:eastAsia="zh-CN"/>
        </w:rPr>
        <w:t>支出</w:t>
      </w:r>
      <w:r>
        <w:rPr>
          <w:rFonts w:hint="eastAsia" w:ascii="仿宋_GB2312" w:eastAsia="仿宋_GB2312"/>
          <w:sz w:val="32"/>
          <w:szCs w:val="32"/>
        </w:rPr>
        <w:t>：指</w:t>
      </w:r>
      <w:r>
        <w:rPr>
          <w:rFonts w:hint="eastAsia" w:ascii="仿宋_GB2312" w:eastAsia="仿宋_GB2312"/>
          <w:sz w:val="32"/>
          <w:szCs w:val="32"/>
          <w:lang w:val="en-US" w:eastAsia="zh-CN"/>
        </w:rPr>
        <w:t>政府</w:t>
      </w:r>
      <w:r>
        <w:rPr>
          <w:rFonts w:hint="eastAsia" w:ascii="仿宋_GB2312" w:eastAsia="仿宋_GB2312"/>
          <w:sz w:val="32"/>
          <w:szCs w:val="32"/>
        </w:rPr>
        <w:t>科学技术</w:t>
      </w:r>
      <w:r>
        <w:rPr>
          <w:rFonts w:hint="eastAsia" w:ascii="仿宋_GB2312" w:eastAsia="仿宋_GB2312"/>
          <w:sz w:val="32"/>
          <w:szCs w:val="32"/>
          <w:lang w:val="en-US" w:eastAsia="zh-CN"/>
        </w:rPr>
        <w:t>方面的支出</w:t>
      </w:r>
      <w:r>
        <w:rPr>
          <w:rFonts w:hint="eastAsia" w:ascii="仿宋_GB2312" w:eastAsia="仿宋_GB2312"/>
          <w:sz w:val="32"/>
          <w:szCs w:val="32"/>
        </w:rPr>
        <w:t>。</w:t>
      </w:r>
    </w:p>
    <w:p w14:paraId="002470B7">
      <w:pPr>
        <w:ind w:firstLine="640" w:firstLineChars="200"/>
        <w:rPr>
          <w:rFonts w:hint="eastAsia" w:ascii="仿宋_GB2312" w:eastAsia="仿宋_GB2312"/>
          <w:sz w:val="32"/>
          <w:szCs w:val="32"/>
          <w:lang w:val="en-US" w:eastAsia="zh-CN"/>
        </w:rPr>
      </w:pPr>
      <w:r>
        <w:rPr>
          <w:rFonts w:ascii="仿宋_GB2312" w:eastAsia="仿宋_GB2312"/>
          <w:sz w:val="32"/>
          <w:szCs w:val="32"/>
        </w:rPr>
        <w:t>14.</w:t>
      </w:r>
      <w:r>
        <w:rPr>
          <w:rFonts w:hint="eastAsia" w:ascii="仿宋_GB2312" w:eastAsia="仿宋_GB2312"/>
          <w:sz w:val="32"/>
          <w:szCs w:val="32"/>
        </w:rPr>
        <w:t>文化旅游体育与传媒（类）</w:t>
      </w:r>
      <w:r>
        <w:rPr>
          <w:rFonts w:hint="eastAsia" w:ascii="仿宋_GB2312" w:eastAsia="仿宋_GB2312"/>
          <w:sz w:val="32"/>
          <w:szCs w:val="32"/>
          <w:lang w:val="en-US" w:eastAsia="zh-CN"/>
        </w:rPr>
        <w:t>支出</w:t>
      </w:r>
      <w:r>
        <w:rPr>
          <w:rFonts w:hint="eastAsia" w:ascii="仿宋_GB2312" w:eastAsia="仿宋_GB2312"/>
          <w:sz w:val="32"/>
          <w:szCs w:val="32"/>
        </w:rPr>
        <w:t>：</w:t>
      </w:r>
      <w:r>
        <w:rPr>
          <w:rFonts w:hint="eastAsia" w:ascii="仿宋_GB2312" w:eastAsia="仿宋_GB2312"/>
          <w:sz w:val="32"/>
          <w:szCs w:val="32"/>
          <w:lang w:val="en-US" w:eastAsia="zh-CN"/>
        </w:rPr>
        <w:t>指政府在</w:t>
      </w:r>
      <w:r>
        <w:rPr>
          <w:rFonts w:hint="eastAsia" w:ascii="仿宋_GB2312" w:eastAsia="仿宋_GB2312"/>
          <w:sz w:val="32"/>
          <w:szCs w:val="32"/>
        </w:rPr>
        <w:t>文化</w:t>
      </w:r>
      <w:r>
        <w:rPr>
          <w:rFonts w:hint="eastAsia" w:ascii="仿宋_GB2312" w:eastAsia="仿宋_GB2312"/>
          <w:sz w:val="32"/>
          <w:szCs w:val="32"/>
          <w:lang w:eastAsia="zh-CN"/>
        </w:rPr>
        <w:t>、</w:t>
      </w:r>
      <w:r>
        <w:rPr>
          <w:rFonts w:hint="eastAsia" w:ascii="仿宋_GB2312" w:eastAsia="仿宋_GB2312"/>
          <w:sz w:val="32"/>
          <w:szCs w:val="32"/>
        </w:rPr>
        <w:t>旅游</w:t>
      </w:r>
      <w:r>
        <w:rPr>
          <w:rFonts w:hint="eastAsia" w:ascii="仿宋_GB2312" w:eastAsia="仿宋_GB2312"/>
          <w:sz w:val="32"/>
          <w:szCs w:val="32"/>
          <w:lang w:eastAsia="zh-CN"/>
        </w:rPr>
        <w:t>、</w:t>
      </w:r>
      <w:r>
        <w:rPr>
          <w:rFonts w:hint="eastAsia" w:ascii="仿宋_GB2312" w:eastAsia="仿宋_GB2312"/>
          <w:sz w:val="32"/>
          <w:szCs w:val="32"/>
        </w:rPr>
        <w:t>体育</w:t>
      </w:r>
      <w:r>
        <w:rPr>
          <w:rFonts w:hint="eastAsia" w:ascii="仿宋_GB2312" w:eastAsia="仿宋_GB2312"/>
          <w:sz w:val="32"/>
          <w:szCs w:val="32"/>
          <w:lang w:eastAsia="zh-CN"/>
        </w:rPr>
        <w:t>、</w:t>
      </w:r>
      <w:r>
        <w:rPr>
          <w:rFonts w:hint="eastAsia" w:ascii="仿宋_GB2312" w:eastAsia="仿宋_GB2312"/>
          <w:sz w:val="32"/>
          <w:szCs w:val="32"/>
          <w:lang w:val="en-US" w:eastAsia="zh-CN"/>
        </w:rPr>
        <w:t>文物、体育、广播电视、电影、新闻出版等方面的支出</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p>
    <w:p w14:paraId="51062B8D">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w:t>
      </w:r>
      <w:r>
        <w:rPr>
          <w:rFonts w:hint="eastAsia" w:ascii="仿宋_GB2312" w:eastAsia="仿宋_GB2312"/>
          <w:sz w:val="32"/>
          <w:szCs w:val="32"/>
          <w:lang w:val="en-US" w:eastAsia="zh-CN"/>
        </w:rPr>
        <w:t>支出</w:t>
      </w:r>
      <w:r>
        <w:rPr>
          <w:rFonts w:hint="eastAsia" w:ascii="仿宋_GB2312" w:eastAsia="仿宋_GB2312"/>
          <w:sz w:val="32"/>
          <w:szCs w:val="32"/>
        </w:rPr>
        <w:t>：指</w:t>
      </w:r>
      <w:r>
        <w:rPr>
          <w:rFonts w:hint="eastAsia" w:ascii="仿宋_GB2312" w:eastAsia="仿宋_GB2312"/>
          <w:sz w:val="32"/>
          <w:szCs w:val="32"/>
          <w:lang w:val="en-US" w:eastAsia="zh-CN"/>
        </w:rPr>
        <w:t>政府在</w:t>
      </w:r>
      <w:r>
        <w:rPr>
          <w:rFonts w:hint="eastAsia" w:ascii="仿宋_GB2312" w:eastAsia="仿宋_GB2312"/>
          <w:sz w:val="32"/>
          <w:szCs w:val="32"/>
        </w:rPr>
        <w:t>社会保障和就业</w:t>
      </w:r>
      <w:r>
        <w:rPr>
          <w:rFonts w:hint="eastAsia" w:ascii="仿宋_GB2312" w:eastAsia="仿宋_GB2312"/>
          <w:sz w:val="32"/>
          <w:szCs w:val="32"/>
          <w:lang w:val="en-US" w:eastAsia="zh-CN"/>
        </w:rPr>
        <w:t>方面的支出</w:t>
      </w:r>
      <w:r>
        <w:rPr>
          <w:rFonts w:hint="eastAsia" w:ascii="仿宋_GB2312" w:eastAsia="仿宋_GB2312"/>
          <w:sz w:val="32"/>
          <w:szCs w:val="32"/>
        </w:rPr>
        <w:t>。</w:t>
      </w:r>
    </w:p>
    <w:p w14:paraId="22DD4612">
      <w:pPr>
        <w:spacing w:line="600" w:lineRule="exact"/>
        <w:ind w:firstLine="640"/>
        <w:rPr>
          <w:rFonts w:ascii="仿宋" w:hAnsi="仿宋" w:eastAsia="仿宋"/>
          <w:b/>
          <w:sz w:val="32"/>
          <w:szCs w:val="32"/>
        </w:rPr>
      </w:pPr>
    </w:p>
    <w:p w14:paraId="197091B6">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4CBD4D5D">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46A5373">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4485DD82">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4604196">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E56F89">
      <w:pPr>
        <w:spacing w:line="600" w:lineRule="exact"/>
        <w:jc w:val="center"/>
        <w:outlineLvl w:val="0"/>
        <w:rPr>
          <w:rStyle w:val="28"/>
          <w:rFonts w:hint="eastAsia"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8"/>
          <w:rFonts w:hint="eastAsia" w:ascii="黑体" w:hAnsi="黑体" w:eastAsia="黑体"/>
          <w:b w:val="0"/>
        </w:rPr>
        <w:t>四部分 附件</w:t>
      </w:r>
      <w:bookmarkEnd w:id="52"/>
    </w:p>
    <w:p w14:paraId="67F53A60">
      <w:pPr>
        <w:spacing w:line="600" w:lineRule="exact"/>
        <w:jc w:val="center"/>
        <w:outlineLvl w:val="0"/>
        <w:rPr>
          <w:rStyle w:val="28"/>
          <w:rFonts w:hint="eastAsia" w:ascii="黑体" w:hAnsi="黑体" w:eastAsia="黑体"/>
          <w:b w:val="0"/>
        </w:rPr>
      </w:pPr>
    </w:p>
    <w:tbl>
      <w:tblPr>
        <w:tblStyle w:val="14"/>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31"/>
        <w:gridCol w:w="1363"/>
        <w:gridCol w:w="1261"/>
        <w:gridCol w:w="2376"/>
        <w:gridCol w:w="1176"/>
        <w:gridCol w:w="683"/>
        <w:gridCol w:w="1943"/>
      </w:tblGrid>
      <w:tr w14:paraId="61F3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7"/>
            <w:shd w:val="clear" w:color="auto" w:fill="auto"/>
            <w:vAlign w:val="center"/>
          </w:tcPr>
          <w:p w14:paraId="1755324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2536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7B6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182A9">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传染病防治市级补助资金</w:t>
            </w:r>
          </w:p>
        </w:tc>
      </w:tr>
      <w:tr w14:paraId="7604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864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EAAB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val="en-US" w:eastAsia="zh-CN"/>
              </w:rPr>
              <w:t>遂宁</w:t>
            </w:r>
            <w:r>
              <w:rPr>
                <w:rFonts w:hint="eastAsia" w:ascii="宋体" w:hAnsi="宋体" w:eastAsia="宋体" w:cs="宋体"/>
                <w:i w:val="0"/>
                <w:color w:val="000000"/>
                <w:sz w:val="24"/>
                <w:szCs w:val="24"/>
                <w:u w:val="none"/>
                <w:lang w:eastAsia="zh-CN"/>
              </w:rPr>
              <w:t>市卫生健康委</w:t>
            </w:r>
          </w:p>
        </w:tc>
      </w:tr>
      <w:tr w14:paraId="138D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670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AB10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民生保障类</w:t>
            </w:r>
          </w:p>
        </w:tc>
      </w:tr>
      <w:tr w14:paraId="003F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8A7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资金情况  （万元)</w:t>
            </w: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92D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年度金额：</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7F36F">
            <w:pPr>
              <w:keepNext w:val="0"/>
              <w:keepLines w:val="0"/>
              <w:pageBreakBefore w:val="0"/>
              <w:tabs>
                <w:tab w:val="left" w:pos="635"/>
              </w:tabs>
              <w:kinsoku/>
              <w:wordWrap/>
              <w:overflowPunct/>
              <w:topLinePunct w:val="0"/>
              <w:autoSpaceDE/>
              <w:autoSpaceDN/>
              <w:bidi w:val="0"/>
              <w:adjustRightInd/>
              <w:snapToGrid/>
              <w:spacing w:line="300" w:lineRule="exact"/>
              <w:ind w:left="0" w:leftChars="0" w:right="307" w:rightChars="146"/>
              <w:jc w:val="left"/>
              <w:rPr>
                <w:rFonts w:hint="default" w:ascii="宋体" w:hAnsi="宋体" w:eastAsia="宋体" w:cs="宋体"/>
                <w:i w:val="0"/>
                <w:color w:val="000000"/>
                <w:sz w:val="24"/>
                <w:szCs w:val="24"/>
                <w:u w:val="none"/>
                <w:lang w:val="en-US" w:eastAsia="zh-CN"/>
              </w:rPr>
            </w:pPr>
            <w:r>
              <w:rPr>
                <w:rFonts w:hint="eastAsia" w:asciiTheme="minorEastAsia" w:hAnsiTheme="minorEastAsia" w:eastAsiaTheme="minorEastAsia" w:cstheme="minorEastAsia"/>
                <w:color w:val="auto"/>
                <w:kern w:val="0"/>
                <w:sz w:val="24"/>
                <w:szCs w:val="24"/>
                <w:highlight w:val="none"/>
                <w:u w:val="none"/>
                <w:shd w:val="clear" w:color="auto" w:fill="FFFFFF"/>
                <w:lang w:val="en-US" w:eastAsia="zh-CN"/>
              </w:rPr>
              <w:t>165</w:t>
            </w:r>
          </w:p>
        </w:tc>
      </w:tr>
      <w:tr w14:paraId="3D97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DF5C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2C1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其中：市级财政</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DA0E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Theme="minorEastAsia" w:hAnsiTheme="minorEastAsia" w:eastAsiaTheme="minorEastAsia" w:cstheme="minorEastAsia"/>
                <w:color w:val="auto"/>
                <w:kern w:val="0"/>
                <w:sz w:val="24"/>
                <w:szCs w:val="24"/>
                <w:highlight w:val="none"/>
                <w:u w:val="none"/>
                <w:shd w:val="clear" w:color="auto" w:fill="FFFFFF"/>
                <w:lang w:val="en-US" w:eastAsia="zh-CN"/>
              </w:rPr>
              <w:t>165</w:t>
            </w:r>
          </w:p>
        </w:tc>
      </w:tr>
      <w:tr w14:paraId="26B5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CA21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877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其他资金</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D452A">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p>
        </w:tc>
      </w:tr>
      <w:tr w14:paraId="261F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B8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目标</w:t>
            </w:r>
          </w:p>
        </w:tc>
        <w:tc>
          <w:tcPr>
            <w:tcW w:w="88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76E2BF">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kern w:val="0"/>
                <w:sz w:val="24"/>
                <w:szCs w:val="24"/>
                <w:u w:val="none"/>
                <w:lang w:val="en-US" w:eastAsia="zh-CN" w:bidi="ar"/>
              </w:rPr>
            </w:pPr>
          </w:p>
          <w:p w14:paraId="79ED97FD">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目标一：进一步完善 “政府组织领导、部门各负其责、全社会共同参与”的防治机制，全面落实各项艾滋病和性病预防控制措施，提高发现率，扩大治疗覆盖面，提升治疗成功率，降低死亡率，降低新发感染，提高感染者和病人的生活质量。</w:t>
            </w:r>
          </w:p>
          <w:p w14:paraId="37BA91D7">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目标二：及时发现和规范治疗管理结核病患者，持续降低结核病的感染、发病与死亡，确保结核病疫情稳步下降，提高群众健康水平。</w:t>
            </w:r>
          </w:p>
          <w:p w14:paraId="70D47879">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kern w:val="0"/>
                <w:sz w:val="24"/>
                <w:szCs w:val="24"/>
                <w:u w:val="none"/>
                <w:lang w:val="en-US" w:eastAsia="zh-CN" w:bidi="ar"/>
              </w:rPr>
            </w:pPr>
          </w:p>
          <w:p w14:paraId="26B1E7AA">
            <w:pPr>
              <w:keepNext w:val="0"/>
              <w:keepLines w:val="0"/>
              <w:pageBreakBefore w:val="0"/>
              <w:kinsoku/>
              <w:wordWrap/>
              <w:overflowPunct/>
              <w:topLinePunct w:val="0"/>
              <w:autoSpaceDE/>
              <w:autoSpaceDN/>
              <w:bidi w:val="0"/>
              <w:adjustRightInd/>
              <w:snapToGrid/>
              <w:spacing w:line="240" w:lineRule="auto"/>
              <w:ind w:left="0" w:leftChars="0"/>
              <w:jc w:val="left"/>
              <w:rPr>
                <w:rFonts w:hint="default" w:ascii="宋体" w:hAnsi="宋体" w:eastAsia="宋体" w:cs="宋体"/>
                <w:i w:val="0"/>
                <w:color w:val="000000"/>
                <w:kern w:val="0"/>
                <w:sz w:val="24"/>
                <w:szCs w:val="24"/>
                <w:u w:val="none"/>
                <w:lang w:val="en-US" w:eastAsia="zh-CN" w:bidi="ar"/>
              </w:rPr>
            </w:pPr>
          </w:p>
        </w:tc>
      </w:tr>
      <w:tr w14:paraId="2873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431" w:type="dxa"/>
            <w:vMerge w:val="restart"/>
            <w:tcBorders>
              <w:top w:val="single" w:color="000000" w:sz="4" w:space="0"/>
              <w:left w:val="single" w:color="000000" w:sz="4" w:space="0"/>
              <w:bottom w:val="single" w:color="000000" w:sz="4" w:space="0"/>
            </w:tcBorders>
            <w:shd w:val="clear" w:color="auto" w:fill="auto"/>
            <w:vAlign w:val="center"/>
          </w:tcPr>
          <w:p w14:paraId="18E3B8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15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6F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46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5E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93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A3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7FE8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1" w:hRule="atLeast"/>
          <w:jc w:val="center"/>
        </w:trPr>
        <w:tc>
          <w:tcPr>
            <w:tcW w:w="1431" w:type="dxa"/>
            <w:vMerge w:val="continue"/>
            <w:tcBorders>
              <w:top w:val="single" w:color="000000" w:sz="4" w:space="0"/>
              <w:left w:val="single" w:color="000000" w:sz="4" w:space="0"/>
              <w:bottom w:val="single" w:color="000000" w:sz="4" w:space="0"/>
            </w:tcBorders>
            <w:shd w:val="clear" w:color="auto" w:fill="auto"/>
            <w:vAlign w:val="center"/>
          </w:tcPr>
          <w:p w14:paraId="360C25D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7D8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D1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w:t>
            </w:r>
            <w:r>
              <w:rPr>
                <w:rFonts w:ascii="宋体" w:hAnsi="宋体" w:eastAsia="宋体" w:cs="宋体"/>
                <w:i w:val="0"/>
                <w:color w:val="000000"/>
                <w:kern w:val="0"/>
                <w:sz w:val="24"/>
                <w:szCs w:val="24"/>
                <w:u w:val="none"/>
                <w:lang w:val="en-US" w:eastAsia="zh-CN" w:bidi="ar"/>
              </w:rPr>
              <w:t>指标</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F4EE">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Times New Roman" w:hAnsi="Times New Roman" w:cs="Times New Roman"/>
                <w:color w:val="auto"/>
                <w:sz w:val="24"/>
                <w:szCs w:val="24"/>
                <w:lang w:eastAsia="zh-CN"/>
              </w:rPr>
              <w:t>艾滋病免费抗病毒治疗任务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B25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val="en-US" w:eastAsia="zh-CN"/>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8CB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4B8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4ADC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jc w:val="center"/>
        </w:trPr>
        <w:tc>
          <w:tcPr>
            <w:tcW w:w="1431" w:type="dxa"/>
            <w:vMerge w:val="continue"/>
            <w:tcBorders>
              <w:top w:val="single" w:color="000000" w:sz="4" w:space="0"/>
              <w:left w:val="single" w:color="000000" w:sz="4" w:space="0"/>
              <w:bottom w:val="single" w:color="000000" w:sz="4" w:space="0"/>
            </w:tcBorders>
            <w:shd w:val="clear" w:color="auto" w:fill="auto"/>
            <w:vAlign w:val="center"/>
          </w:tcPr>
          <w:p w14:paraId="3E0119A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079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81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w:t>
            </w:r>
            <w:r>
              <w:rPr>
                <w:rFonts w:ascii="宋体" w:hAnsi="宋体" w:eastAsia="宋体" w:cs="宋体"/>
                <w:i w:val="0"/>
                <w:color w:val="000000"/>
                <w:kern w:val="0"/>
                <w:sz w:val="24"/>
                <w:szCs w:val="24"/>
                <w:u w:val="none"/>
                <w:lang w:val="en-US" w:eastAsia="zh-CN" w:bidi="ar"/>
              </w:rPr>
              <w:t>指标</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777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cs="Times New Roman"/>
                <w:color w:val="auto"/>
                <w:sz w:val="24"/>
                <w:szCs w:val="24"/>
                <w:lang w:eastAsia="zh-CN"/>
              </w:rPr>
              <w:t>肺结核患者治疗任务完成率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D23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cs="Times New Roman"/>
                <w:color w:val="auto"/>
                <w:sz w:val="24"/>
                <w:szCs w:val="24"/>
                <w:lang w:eastAsia="zh-CN"/>
              </w:rPr>
              <w:t>≥85%</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8EE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E8F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65E3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2" w:hRule="atLeast"/>
          <w:jc w:val="center"/>
        </w:trPr>
        <w:tc>
          <w:tcPr>
            <w:tcW w:w="1431" w:type="dxa"/>
            <w:vMerge w:val="continue"/>
            <w:tcBorders>
              <w:top w:val="single" w:color="000000" w:sz="4" w:space="0"/>
              <w:left w:val="single" w:color="000000" w:sz="4" w:space="0"/>
              <w:bottom w:val="single" w:color="000000" w:sz="4" w:space="0"/>
            </w:tcBorders>
            <w:shd w:val="clear" w:color="auto" w:fill="auto"/>
            <w:vAlign w:val="center"/>
          </w:tcPr>
          <w:p w14:paraId="7712B78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04E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right w:val="single" w:color="000000" w:sz="4" w:space="0"/>
            </w:tcBorders>
            <w:shd w:val="clear" w:color="auto" w:fill="auto"/>
            <w:vAlign w:val="center"/>
          </w:tcPr>
          <w:p w14:paraId="169902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w:t>
            </w:r>
            <w:r>
              <w:rPr>
                <w:rFonts w:ascii="宋体" w:hAnsi="宋体" w:eastAsia="宋体" w:cs="宋体"/>
                <w:i w:val="0"/>
                <w:color w:val="000000"/>
                <w:kern w:val="0"/>
                <w:sz w:val="24"/>
                <w:szCs w:val="24"/>
                <w:u w:val="none"/>
                <w:lang w:val="en-US" w:eastAsia="zh-CN" w:bidi="ar"/>
              </w:rPr>
              <w:t>指标</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7A69">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cs="Times New Roman"/>
                <w:color w:val="auto"/>
                <w:sz w:val="24"/>
                <w:szCs w:val="24"/>
                <w:lang w:eastAsia="zh-CN"/>
              </w:rPr>
              <w:t>肺结核患者</w:t>
            </w:r>
            <w:r>
              <w:rPr>
                <w:rFonts w:hint="eastAsia" w:cs="Times New Roman"/>
                <w:color w:val="auto"/>
                <w:sz w:val="24"/>
                <w:szCs w:val="24"/>
                <w:lang w:val="en-US" w:eastAsia="zh-CN"/>
              </w:rPr>
              <w:t>涂成功治疗率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981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cs="Times New Roman"/>
                <w:color w:val="auto"/>
                <w:sz w:val="24"/>
                <w:szCs w:val="24"/>
                <w:lang w:eastAsia="zh-CN"/>
              </w:rPr>
              <w:t>≥</w:t>
            </w:r>
            <w:r>
              <w:rPr>
                <w:rFonts w:hint="eastAsia" w:cs="Times New Roman"/>
                <w:color w:val="auto"/>
                <w:sz w:val="24"/>
                <w:szCs w:val="24"/>
                <w:lang w:val="en-US" w:eastAsia="zh-CN"/>
              </w:rPr>
              <w:t>90</w:t>
            </w:r>
            <w:r>
              <w:rPr>
                <w:rFonts w:hint="eastAsia" w:cs="Times New Roman"/>
                <w:color w:val="auto"/>
                <w:sz w:val="24"/>
                <w:szCs w:val="24"/>
                <w:lang w:eastAsia="zh-CN"/>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B43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11A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val="en-US" w:eastAsia="zh-CN"/>
              </w:rPr>
              <w:t>100%</w:t>
            </w:r>
          </w:p>
        </w:tc>
      </w:tr>
      <w:tr w14:paraId="22E0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3" w:hRule="atLeast"/>
          <w:jc w:val="center"/>
        </w:trPr>
        <w:tc>
          <w:tcPr>
            <w:tcW w:w="1431" w:type="dxa"/>
            <w:vMerge w:val="continue"/>
            <w:tcBorders>
              <w:top w:val="single" w:color="000000" w:sz="4" w:space="0"/>
              <w:left w:val="single" w:color="000000" w:sz="4" w:space="0"/>
              <w:bottom w:val="single" w:color="000000" w:sz="4" w:space="0"/>
            </w:tcBorders>
            <w:shd w:val="clear" w:color="auto" w:fill="auto"/>
            <w:vAlign w:val="center"/>
          </w:tcPr>
          <w:p w14:paraId="6DDB20E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F7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w:t>
            </w:r>
            <w:r>
              <w:rPr>
                <w:rFonts w:ascii="宋体" w:hAnsi="宋体" w:eastAsia="宋体" w:cs="宋体"/>
                <w:i w:val="0"/>
                <w:color w:val="000000"/>
                <w:kern w:val="0"/>
                <w:sz w:val="24"/>
                <w:szCs w:val="24"/>
                <w:u w:val="none"/>
                <w:lang w:val="en-US" w:eastAsia="zh-CN" w:bidi="ar"/>
              </w:rPr>
              <w:t>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4C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可持续影响指标</w:t>
            </w:r>
          </w:p>
        </w:tc>
        <w:tc>
          <w:tcPr>
            <w:tcW w:w="2376" w:type="dxa"/>
            <w:tcBorders>
              <w:top w:val="single" w:color="000000" w:sz="4" w:space="0"/>
              <w:bottom w:val="single" w:color="000000" w:sz="4" w:space="0"/>
              <w:right w:val="single" w:color="000000" w:sz="4" w:space="0"/>
            </w:tcBorders>
            <w:shd w:val="clear" w:color="auto" w:fill="auto"/>
            <w:vAlign w:val="center"/>
          </w:tcPr>
          <w:p w14:paraId="1860AC07">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艾滋病疫情处于低流行水平</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D49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中长期</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AB2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B06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逐步提升</w:t>
            </w:r>
          </w:p>
        </w:tc>
      </w:tr>
    </w:tbl>
    <w:p w14:paraId="6F08E0FA">
      <w:pPr>
        <w:spacing w:line="600" w:lineRule="exact"/>
        <w:jc w:val="both"/>
        <w:outlineLvl w:val="0"/>
        <w:rPr>
          <w:rStyle w:val="28"/>
          <w:rFonts w:hint="eastAsia" w:ascii="黑体" w:hAnsi="黑体" w:eastAsia="黑体"/>
          <w:b w:val="0"/>
        </w:rPr>
      </w:pPr>
    </w:p>
    <w:p w14:paraId="03DDE2E9">
      <w:pPr>
        <w:spacing w:line="600" w:lineRule="exact"/>
        <w:jc w:val="both"/>
        <w:outlineLvl w:val="0"/>
        <w:rPr>
          <w:rStyle w:val="28"/>
          <w:rFonts w:hint="eastAsia" w:ascii="黑体" w:hAnsi="黑体" w:eastAsia="黑体"/>
          <w:b w:val="0"/>
        </w:rPr>
      </w:pPr>
    </w:p>
    <w:p w14:paraId="732354F6">
      <w:pPr>
        <w:spacing w:line="600" w:lineRule="exact"/>
        <w:jc w:val="both"/>
        <w:outlineLvl w:val="0"/>
        <w:rPr>
          <w:rStyle w:val="28"/>
          <w:rFonts w:hint="eastAsia" w:ascii="黑体" w:hAnsi="黑体" w:eastAsia="黑体"/>
          <w:b w:val="0"/>
        </w:rPr>
      </w:pPr>
    </w:p>
    <w:p w14:paraId="0CF986F1">
      <w:pPr>
        <w:spacing w:line="600" w:lineRule="exact"/>
        <w:jc w:val="both"/>
        <w:outlineLvl w:val="0"/>
        <w:rPr>
          <w:rStyle w:val="28"/>
          <w:rFonts w:hint="eastAsia" w:ascii="黑体" w:hAnsi="黑体" w:eastAsia="黑体"/>
          <w:b w:val="0"/>
        </w:rPr>
      </w:pPr>
    </w:p>
    <w:p w14:paraId="20378592">
      <w:pPr>
        <w:spacing w:line="600" w:lineRule="exact"/>
        <w:jc w:val="both"/>
        <w:outlineLvl w:val="0"/>
        <w:rPr>
          <w:rStyle w:val="28"/>
          <w:rFonts w:hint="eastAsia" w:ascii="黑体" w:hAnsi="黑体" w:eastAsia="黑体"/>
          <w:b w:val="0"/>
        </w:rPr>
      </w:pPr>
    </w:p>
    <w:p w14:paraId="2D38AE26">
      <w:pPr>
        <w:spacing w:line="600" w:lineRule="exact"/>
        <w:jc w:val="both"/>
        <w:outlineLvl w:val="0"/>
        <w:rPr>
          <w:rStyle w:val="28"/>
          <w:rFonts w:hint="eastAsia" w:ascii="黑体" w:hAnsi="黑体" w:eastAsia="黑体"/>
          <w:b w:val="0"/>
        </w:rPr>
      </w:pPr>
    </w:p>
    <w:tbl>
      <w:tblPr>
        <w:tblStyle w:val="14"/>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31"/>
        <w:gridCol w:w="1363"/>
        <w:gridCol w:w="1261"/>
        <w:gridCol w:w="2376"/>
        <w:gridCol w:w="1176"/>
        <w:gridCol w:w="683"/>
        <w:gridCol w:w="1943"/>
      </w:tblGrid>
      <w:tr w14:paraId="2FA5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7"/>
            <w:shd w:val="clear" w:color="auto" w:fill="auto"/>
            <w:vAlign w:val="center"/>
          </w:tcPr>
          <w:p w14:paraId="519EC63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7E6C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jc w:val="center"/>
        </w:trPr>
        <w:tc>
          <w:tcPr>
            <w:tcW w:w="6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9A5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23B2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公立医院高质量发展专项资金</w:t>
            </w:r>
          </w:p>
        </w:tc>
      </w:tr>
      <w:tr w14:paraId="328C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6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274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市级财政项目资金</w:t>
            </w:r>
            <w:r>
              <w:rPr>
                <w:rFonts w:hint="eastAsia" w:ascii="宋体" w:hAnsi="宋体" w:eastAsia="宋体" w:cs="宋体"/>
                <w:i w:val="0"/>
                <w:color w:val="000000"/>
                <w:kern w:val="0"/>
                <w:sz w:val="24"/>
                <w:szCs w:val="24"/>
                <w:u w:val="none"/>
                <w:lang w:val="en-US" w:eastAsia="zh-CN" w:bidi="ar"/>
              </w:rPr>
              <w:t>（万元)</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4812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r>
      <w:tr w14:paraId="1E4C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3" w:hRule="atLeast"/>
          <w:jc w:val="center"/>
        </w:trPr>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39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总体</w:t>
            </w: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目标</w:t>
            </w:r>
          </w:p>
        </w:tc>
        <w:tc>
          <w:tcPr>
            <w:tcW w:w="88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E760AA">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目标一：加强人才培养，完善人才梯队建设。医院积极引进德才兼备的高层次人才，保证学科长足发展；同时外聘知名客座教授授课，加强知名专业团队交流合作，外派医护人员到国内外知名医学中心进修，注重人才培养，提升业务能力水平。</w:t>
            </w:r>
          </w:p>
          <w:p w14:paraId="3DDC3647">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目标二：着力提升医院诊疗能力。规范诊疗行为，落实分级诊疗制度，加强医院临床专科建设，加强科研项目建设，提升院前医疗急救体系和急救能力建设，缓解群众看病难问题。</w:t>
            </w:r>
          </w:p>
          <w:p w14:paraId="590B9624">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目标三：着力加强智慧医院建设。推进电子病历、智慧服务、智慧管理 “三位一</w:t>
            </w:r>
          </w:p>
          <w:p w14:paraId="4B699CF1">
            <w:pPr>
              <w:keepNext w:val="0"/>
              <w:keepLines w:val="0"/>
              <w:pageBreakBefore w:val="0"/>
              <w:kinsoku/>
              <w:wordWrap/>
              <w:overflowPunct/>
              <w:topLinePunct w:val="0"/>
              <w:autoSpaceDE/>
              <w:autoSpaceDN/>
              <w:bidi w:val="0"/>
              <w:adjustRightInd/>
              <w:snapToGrid/>
              <w:spacing w:line="240" w:lineRule="auto"/>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体〞的智慧医院建设和医院信息标准化建设，建立区域内检查检验结果互通共享，减少患者在不同公立医院检查化验次数，提升群众获得感。</w:t>
            </w:r>
          </w:p>
        </w:tc>
      </w:tr>
      <w:tr w14:paraId="2E9C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1431" w:type="dxa"/>
            <w:vMerge w:val="restart"/>
            <w:tcBorders>
              <w:top w:val="single" w:color="000000" w:sz="4" w:space="0"/>
              <w:left w:val="single" w:color="000000" w:sz="4" w:space="0"/>
              <w:bottom w:val="single" w:color="000000" w:sz="4" w:space="0"/>
            </w:tcBorders>
            <w:shd w:val="clear" w:color="auto" w:fill="auto"/>
            <w:vAlign w:val="center"/>
          </w:tcPr>
          <w:p w14:paraId="5FE6AA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79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A0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4B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1F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E2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AD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6F01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2" w:hRule="atLeast"/>
          <w:jc w:val="center"/>
        </w:trPr>
        <w:tc>
          <w:tcPr>
            <w:tcW w:w="1431" w:type="dxa"/>
            <w:vMerge w:val="continue"/>
            <w:tcBorders>
              <w:top w:val="single" w:color="000000" w:sz="4" w:space="0"/>
              <w:left w:val="single" w:color="000000" w:sz="4" w:space="0"/>
              <w:bottom w:val="single" w:color="000000" w:sz="4" w:space="0"/>
            </w:tcBorders>
            <w:shd w:val="clear" w:color="auto" w:fill="auto"/>
            <w:vAlign w:val="center"/>
          </w:tcPr>
          <w:p w14:paraId="71BFF57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068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7C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r>
              <w:rPr>
                <w:rFonts w:ascii="宋体" w:hAnsi="宋体" w:eastAsia="宋体" w:cs="宋体"/>
                <w:i w:val="0"/>
                <w:color w:val="000000"/>
                <w:kern w:val="0"/>
                <w:sz w:val="24"/>
                <w:szCs w:val="24"/>
                <w:u w:val="none"/>
                <w:lang w:val="en-US" w:eastAsia="zh-CN" w:bidi="ar"/>
              </w:rPr>
              <w:t>指标</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D033">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Times New Roman" w:hAnsi="Times New Roman" w:cs="Times New Roman"/>
                <w:color w:val="auto"/>
                <w:sz w:val="24"/>
                <w:szCs w:val="24"/>
                <w:lang w:eastAsia="zh-CN"/>
              </w:rPr>
              <w:t>实行党委领导下的院长负责制的公立医院</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AE0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val="en-US" w:eastAsia="zh-CN"/>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833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981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695E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88" w:hRule="atLeast"/>
          <w:jc w:val="center"/>
        </w:trPr>
        <w:tc>
          <w:tcPr>
            <w:tcW w:w="1431" w:type="dxa"/>
            <w:vMerge w:val="continue"/>
            <w:tcBorders>
              <w:top w:val="single" w:color="000000" w:sz="4" w:space="0"/>
              <w:left w:val="single" w:color="000000" w:sz="4" w:space="0"/>
              <w:bottom w:val="single" w:color="000000" w:sz="4" w:space="0"/>
            </w:tcBorders>
            <w:shd w:val="clear" w:color="auto" w:fill="auto"/>
            <w:vAlign w:val="center"/>
          </w:tcPr>
          <w:p w14:paraId="34935FA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F19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AA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w:t>
            </w:r>
            <w:r>
              <w:rPr>
                <w:rFonts w:ascii="宋体" w:hAnsi="宋体" w:eastAsia="宋体" w:cs="宋体"/>
                <w:i w:val="0"/>
                <w:color w:val="000000"/>
                <w:kern w:val="0"/>
                <w:sz w:val="24"/>
                <w:szCs w:val="24"/>
                <w:u w:val="none"/>
                <w:lang w:val="en-US" w:eastAsia="zh-CN" w:bidi="ar"/>
              </w:rPr>
              <w:t>指标</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C0C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cs="Times New Roman"/>
                <w:color w:val="auto"/>
                <w:sz w:val="24"/>
                <w:szCs w:val="24"/>
                <w:lang w:eastAsia="zh-CN"/>
              </w:rPr>
              <w:t>公立医院人员薪酬中稳定收入的比例</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2E0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cs="Times New Roman"/>
                <w:color w:val="auto"/>
                <w:sz w:val="24"/>
                <w:szCs w:val="24"/>
                <w:lang w:eastAsia="zh-CN"/>
              </w:rPr>
              <w:t>≥</w:t>
            </w:r>
            <w:r>
              <w:rPr>
                <w:rFonts w:hint="eastAsia" w:cs="Times New Roman"/>
                <w:color w:val="auto"/>
                <w:sz w:val="24"/>
                <w:szCs w:val="24"/>
                <w:lang w:val="en-US" w:eastAsia="zh-CN"/>
              </w:rPr>
              <w:t>30</w:t>
            </w:r>
            <w:r>
              <w:rPr>
                <w:rFonts w:hint="eastAsia" w:cs="Times New Roman"/>
                <w:color w:val="auto"/>
                <w:sz w:val="24"/>
                <w:szCs w:val="24"/>
                <w:lang w:eastAsia="zh-CN"/>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631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66A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5557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1431" w:type="dxa"/>
            <w:vMerge w:val="continue"/>
            <w:tcBorders>
              <w:top w:val="single" w:color="000000" w:sz="4" w:space="0"/>
              <w:left w:val="single" w:color="000000" w:sz="4" w:space="0"/>
              <w:bottom w:val="single" w:color="000000" w:sz="4" w:space="0"/>
            </w:tcBorders>
            <w:shd w:val="clear" w:color="auto" w:fill="auto"/>
            <w:vAlign w:val="center"/>
          </w:tcPr>
          <w:p w14:paraId="20EE1F8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4E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BB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服务对象满意度</w:t>
            </w:r>
          </w:p>
        </w:tc>
        <w:tc>
          <w:tcPr>
            <w:tcW w:w="2376" w:type="dxa"/>
            <w:tcBorders>
              <w:top w:val="single" w:color="000000" w:sz="4" w:space="0"/>
              <w:bottom w:val="single" w:color="000000" w:sz="4" w:space="0"/>
              <w:right w:val="single" w:color="000000" w:sz="4" w:space="0"/>
            </w:tcBorders>
            <w:shd w:val="clear" w:color="auto" w:fill="auto"/>
            <w:vAlign w:val="center"/>
          </w:tcPr>
          <w:p w14:paraId="523E773A">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公立医院医务人员满意度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505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CBF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1C2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90%</w:t>
            </w:r>
          </w:p>
        </w:tc>
      </w:tr>
    </w:tbl>
    <w:p w14:paraId="25AE017C">
      <w:pPr>
        <w:pStyle w:val="5"/>
        <w:spacing w:before="93"/>
        <w:rPr>
          <w:rFonts w:hAnsi="Calibri" w:cs="仿宋"/>
          <w:sz w:val="32"/>
          <w:szCs w:val="32"/>
        </w:rPr>
      </w:pPr>
      <w:bookmarkStart w:id="53" w:name="_Toc15396618"/>
    </w:p>
    <w:p w14:paraId="05850C12">
      <w:pPr>
        <w:spacing w:line="600" w:lineRule="exact"/>
        <w:jc w:val="center"/>
        <w:outlineLvl w:val="0"/>
        <w:rPr>
          <w:rFonts w:hint="eastAsia" w:ascii="黑体" w:hAnsi="黑体" w:eastAsia="黑体"/>
          <w:sz w:val="44"/>
          <w:szCs w:val="44"/>
        </w:rPr>
      </w:pPr>
    </w:p>
    <w:p w14:paraId="7737CB1F">
      <w:pPr>
        <w:spacing w:line="600" w:lineRule="exact"/>
        <w:jc w:val="both"/>
        <w:outlineLvl w:val="0"/>
        <w:rPr>
          <w:rFonts w:hint="eastAsia" w:ascii="黑体" w:hAnsi="黑体" w:eastAsia="黑体"/>
          <w:sz w:val="44"/>
          <w:szCs w:val="44"/>
        </w:rPr>
      </w:pPr>
    </w:p>
    <w:p w14:paraId="4E7E4DA7">
      <w:pPr>
        <w:spacing w:line="600" w:lineRule="exact"/>
        <w:jc w:val="center"/>
        <w:outlineLvl w:val="0"/>
        <w:rPr>
          <w:rFonts w:hint="eastAsia" w:ascii="黑体" w:hAnsi="黑体" w:eastAsia="黑体"/>
          <w:sz w:val="44"/>
          <w:szCs w:val="44"/>
        </w:rPr>
      </w:pPr>
    </w:p>
    <w:p w14:paraId="1084A421">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1"/>
      <w:bookmarkEnd w:id="53"/>
      <w:bookmarkStart w:id="54" w:name="_Toc15396619"/>
    </w:p>
    <w:p w14:paraId="13A00857">
      <w:pPr>
        <w:pStyle w:val="3"/>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14:paraId="3A2B11AB">
      <w:pPr>
        <w:pStyle w:val="3"/>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14:paraId="6F083632">
      <w:pPr>
        <w:pStyle w:val="3"/>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14:paraId="46E1A2EC">
      <w:pPr>
        <w:pStyle w:val="3"/>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14:paraId="75261918">
      <w:pPr>
        <w:pStyle w:val="3"/>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14:paraId="6331004B">
      <w:pPr>
        <w:pStyle w:val="3"/>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14:paraId="3771834D">
      <w:pPr>
        <w:pStyle w:val="3"/>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14:paraId="344D4300">
      <w:pPr>
        <w:pStyle w:val="3"/>
        <w:rPr>
          <w:rStyle w:val="29"/>
          <w:rFonts w:hint="eastAsia" w:ascii="仿宋" w:hAnsi="仿宋" w:eastAsia="仿宋"/>
          <w:b w:val="0"/>
          <w:bCs w:val="0"/>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bookmarkStart w:id="62" w:name="_Toc15396627"/>
    </w:p>
    <w:p w14:paraId="3B5E5063">
      <w:pPr>
        <w:ind w:firstLine="640" w:firstLineChars="200"/>
        <w:rPr>
          <w:rFonts w:hint="eastAsia"/>
        </w:rPr>
      </w:pPr>
      <w:r>
        <w:rPr>
          <w:rFonts w:hint="eastAsia" w:ascii="仿宋" w:hAnsi="仿宋" w:eastAsia="仿宋" w:cs="仿宋"/>
          <w:sz w:val="32"/>
          <w:szCs w:val="32"/>
        </w:rPr>
        <w:t>本表无数据</w:t>
      </w:r>
      <w:r>
        <w:rPr>
          <w:rFonts w:hint="eastAsia" w:ascii="仿宋" w:hAnsi="仿宋" w:eastAsia="仿宋" w:cs="仿宋"/>
          <w:sz w:val="32"/>
          <w:szCs w:val="32"/>
          <w:lang w:eastAsia="zh-CN"/>
        </w:rPr>
        <w:t>。</w:t>
      </w:r>
    </w:p>
    <w:p w14:paraId="2539A3E3">
      <w:pPr>
        <w:pStyle w:val="3"/>
        <w:numPr>
          <w:ilvl w:val="0"/>
          <w:numId w:val="7"/>
        </w:numPr>
        <w:rPr>
          <w:rStyle w:val="29"/>
          <w:rFonts w:hint="eastAsia" w:ascii="仿宋" w:hAnsi="仿宋" w:eastAsia="仿宋"/>
          <w:b w:val="0"/>
          <w:bCs w:val="0"/>
        </w:rPr>
      </w:pP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14:paraId="5D9094E9">
      <w:pPr>
        <w:rPr>
          <w:rStyle w:val="29"/>
          <w:rFonts w:hint="eastAsia" w:ascii="仿宋" w:hAnsi="仿宋" w:eastAsia="仿宋"/>
          <w:b w:val="0"/>
          <w:bCs w:val="0"/>
        </w:rPr>
      </w:pPr>
      <w:r>
        <w:rPr>
          <w:rFonts w:hint="eastAsia" w:ascii="仿宋" w:hAnsi="仿宋" w:eastAsia="仿宋" w:cs="仿宋"/>
          <w:sz w:val="32"/>
          <w:szCs w:val="32"/>
          <w:lang w:val="en-US" w:eastAsia="zh-CN"/>
        </w:rPr>
        <w:t>十、政</w:t>
      </w:r>
      <w:r>
        <w:rPr>
          <w:rStyle w:val="29"/>
          <w:rFonts w:hint="eastAsia" w:ascii="仿宋" w:hAnsi="仿宋" w:eastAsia="仿宋"/>
          <w:b w:val="0"/>
          <w:bCs w:val="0"/>
        </w:rPr>
        <w:t>府性基金预算财政拨款收入支出决算表</w:t>
      </w:r>
    </w:p>
    <w:p w14:paraId="14DF7A68">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本表无数据</w:t>
      </w:r>
      <w:r>
        <w:rPr>
          <w:rFonts w:hint="eastAsia" w:ascii="仿宋" w:hAnsi="仿宋" w:eastAsia="仿宋" w:cs="仿宋"/>
          <w:sz w:val="32"/>
          <w:szCs w:val="32"/>
          <w:lang w:eastAsia="zh-CN"/>
        </w:rPr>
        <w:t>。</w:t>
      </w:r>
    </w:p>
    <w:p w14:paraId="6968F49C">
      <w:pPr>
        <w:pStyle w:val="3"/>
        <w:numPr>
          <w:ilvl w:val="0"/>
          <w:numId w:val="0"/>
        </w:numPr>
        <w:ind w:leftChars="0"/>
        <w:rPr>
          <w:rStyle w:val="29"/>
          <w:rFonts w:hint="eastAsia" w:ascii="仿宋" w:hAnsi="仿宋" w:eastAsia="仿宋"/>
          <w:b w:val="0"/>
          <w:bCs w:val="0"/>
        </w:rPr>
      </w:pPr>
      <w:r>
        <w:rPr>
          <w:rFonts w:hint="eastAsia" w:ascii="仿宋" w:hAnsi="仿宋" w:eastAsia="仿宋"/>
          <w:b w:val="0"/>
          <w:lang w:val="en-US" w:eastAsia="zh-CN"/>
        </w:rPr>
        <w:t>十一、</w:t>
      </w:r>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2664A5B5">
      <w:pPr>
        <w:ind w:firstLine="640" w:firstLineChars="200"/>
      </w:pPr>
      <w:r>
        <w:rPr>
          <w:rFonts w:hint="eastAsia" w:ascii="仿宋" w:hAnsi="仿宋" w:eastAsia="仿宋" w:cs="仿宋"/>
          <w:sz w:val="32"/>
          <w:szCs w:val="32"/>
        </w:rPr>
        <w:t>本表无数据</w:t>
      </w:r>
      <w:r>
        <w:rPr>
          <w:rFonts w:hint="eastAsia" w:ascii="仿宋" w:hAnsi="仿宋" w:eastAsia="仿宋" w:cs="仿宋"/>
          <w:sz w:val="32"/>
          <w:szCs w:val="32"/>
          <w:lang w:eastAsia="zh-CN"/>
        </w:rPr>
        <w:t>。</w:t>
      </w:r>
    </w:p>
    <w:p w14:paraId="6BF06924">
      <w:pPr>
        <w:pStyle w:val="3"/>
        <w:numPr>
          <w:ilvl w:val="0"/>
          <w:numId w:val="0"/>
        </w:numPr>
        <w:ind w:leftChars="0"/>
        <w:rPr>
          <w:rStyle w:val="29"/>
          <w:rFonts w:hint="eastAsia" w:ascii="仿宋" w:hAnsi="仿宋" w:eastAsia="仿宋"/>
          <w:b w:val="0"/>
          <w:bCs w:val="0"/>
        </w:rPr>
      </w:pPr>
      <w:r>
        <w:rPr>
          <w:rStyle w:val="29"/>
          <w:rFonts w:hint="eastAsia" w:ascii="仿宋" w:hAnsi="仿宋" w:eastAsia="仿宋"/>
          <w:b w:val="0"/>
          <w:bCs w:val="0"/>
          <w:lang w:val="en-US" w:eastAsia="zh-CN"/>
        </w:rPr>
        <w:t>十二、</w:t>
      </w:r>
      <w:r>
        <w:rPr>
          <w:rStyle w:val="29"/>
          <w:rFonts w:hint="eastAsia" w:ascii="仿宋" w:hAnsi="仿宋" w:eastAsia="仿宋"/>
          <w:b w:val="0"/>
          <w:bCs w:val="0"/>
        </w:rPr>
        <w:t>国有资本经营预算财政拨款支出决算表</w:t>
      </w:r>
    </w:p>
    <w:p w14:paraId="25B0B508">
      <w:pPr>
        <w:ind w:firstLine="420" w:firstLineChars="200"/>
        <w:rPr>
          <w:rFonts w:hint="default" w:eastAsia="宋体"/>
          <w:lang w:val="en-US" w:eastAsia="zh-CN"/>
        </w:rPr>
      </w:pPr>
      <w:r>
        <w:rPr>
          <w:rFonts w:hint="eastAsia"/>
          <w:lang w:val="en-US" w:eastAsia="zh-CN"/>
        </w:rPr>
        <w:t xml:space="preserve">      </w:t>
      </w:r>
      <w:r>
        <w:rPr>
          <w:rFonts w:hint="eastAsia" w:ascii="仿宋" w:hAnsi="仿宋" w:eastAsia="仿宋" w:cs="仿宋"/>
          <w:sz w:val="32"/>
          <w:szCs w:val="32"/>
        </w:rPr>
        <w:t>本表无数据</w:t>
      </w:r>
      <w:r>
        <w:rPr>
          <w:rFonts w:hint="eastAsia" w:ascii="仿宋" w:hAnsi="仿宋" w:eastAsia="仿宋" w:cs="仿宋"/>
          <w:sz w:val="32"/>
          <w:szCs w:val="32"/>
          <w:lang w:eastAsia="zh-CN"/>
        </w:rPr>
        <w:t>。</w:t>
      </w:r>
    </w:p>
    <w:p w14:paraId="67135AEC">
      <w:pPr>
        <w:pStyle w:val="3"/>
        <w:numPr>
          <w:ilvl w:val="0"/>
          <w:numId w:val="8"/>
        </w:numPr>
        <w:rPr>
          <w:rStyle w:val="29"/>
          <w:rFonts w:hint="eastAsia" w:ascii="仿宋" w:hAnsi="仿宋" w:eastAsia="仿宋"/>
          <w:b w:val="0"/>
          <w:bCs w:val="0"/>
        </w:rPr>
      </w:pPr>
      <w:r>
        <w:rPr>
          <w:rStyle w:val="29"/>
          <w:rFonts w:hint="eastAsia" w:ascii="仿宋" w:hAnsi="仿宋" w:eastAsia="仿宋"/>
          <w:b w:val="0"/>
          <w:bCs w:val="0"/>
        </w:rPr>
        <w:t>财政拨款“三公”经费支出决算表</w:t>
      </w:r>
    </w:p>
    <w:p w14:paraId="7B421317">
      <w:pPr>
        <w:numPr>
          <w:ilvl w:val="0"/>
          <w:numId w:val="0"/>
        </w:numPr>
        <w:ind w:firstLine="960" w:firstLineChars="300"/>
      </w:pPr>
      <w:r>
        <w:rPr>
          <w:rFonts w:hint="eastAsia" w:ascii="仿宋" w:hAnsi="仿宋" w:eastAsia="仿宋" w:cs="仿宋"/>
          <w:sz w:val="32"/>
          <w:szCs w:val="32"/>
        </w:rPr>
        <w:t>本表无数据</w:t>
      </w:r>
      <w:r>
        <w:rPr>
          <w:rFonts w:hint="eastAsia" w:ascii="仿宋" w:hAnsi="仿宋" w:eastAsia="仿宋" w:cs="仿宋"/>
          <w:sz w:val="32"/>
          <w:szCs w:val="32"/>
          <w:lang w:eastAsia="zh-CN"/>
        </w:rPr>
        <w:t>。</w:t>
      </w:r>
    </w:p>
    <w:sectPr>
      <w:headerReference r:id="rId3" w:type="default"/>
      <w:footerReference r:id="rId4" w:type="default"/>
      <w:pgSz w:w="11906" w:h="16838"/>
      <w:pgMar w:top="1417" w:right="1417" w:bottom="1417" w:left="141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69557-647E-4917-89EF-75127D01E5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CAEAB58-F5C7-4BC6-8F67-47A107E96922}"/>
  </w:font>
  <w:font w:name="Cambria">
    <w:panose1 w:val="02040503050406030204"/>
    <w:charset w:val="00"/>
    <w:family w:val="roman"/>
    <w:pitch w:val="default"/>
    <w:sig w:usb0="E00006FF" w:usb1="420024FF" w:usb2="02000000" w:usb3="00000000" w:csb0="2000019F" w:csb1="00000000"/>
    <w:embedRegular r:id="rId3" w:fontKey="{EA3F5A49-43CD-4B31-8E3A-8DDE4BEDF565}"/>
  </w:font>
  <w:font w:name="仿宋_GB2312">
    <w:altName w:val="仿宋"/>
    <w:panose1 w:val="00000000000000000000"/>
    <w:charset w:val="86"/>
    <w:family w:val="auto"/>
    <w:pitch w:val="default"/>
    <w:sig w:usb0="00000000" w:usb1="00000000" w:usb2="00000000" w:usb3="00000000" w:csb0="00040000" w:csb1="00000000"/>
    <w:embedRegular r:id="rId4" w:fontKey="{A3052F31-186E-4F2B-BB57-B39F942AEB5F}"/>
  </w:font>
  <w:font w:name="仿宋">
    <w:panose1 w:val="02010609060101010101"/>
    <w:charset w:val="86"/>
    <w:family w:val="modern"/>
    <w:pitch w:val="default"/>
    <w:sig w:usb0="800002BF" w:usb1="38CF7CFA" w:usb2="00000016" w:usb3="00000000" w:csb0="00040001" w:csb1="00000000"/>
    <w:embedRegular r:id="rId5" w:fontKey="{69A6C432-A51C-4EC2-ACA6-CCF0B9A4AF56}"/>
  </w:font>
  <w:font w:name="方正小标宋简体">
    <w:altName w:val="黑体"/>
    <w:panose1 w:val="00000000000000000000"/>
    <w:charset w:val="86"/>
    <w:family w:val="script"/>
    <w:pitch w:val="default"/>
    <w:sig w:usb0="00000000" w:usb1="00000000" w:usb2="00000012" w:usb3="00000000" w:csb0="00040001" w:csb1="00000000"/>
    <w:embedRegular r:id="rId6" w:fontKey="{27828A67-6A43-481B-839E-58216B3EDAE4}"/>
  </w:font>
  <w:font w:name="楷体_GB2312">
    <w:altName w:val="楷体"/>
    <w:panose1 w:val="02010609030101010101"/>
    <w:charset w:val="86"/>
    <w:family w:val="modern"/>
    <w:pitch w:val="default"/>
    <w:sig w:usb0="00000000" w:usb1="00000000" w:usb2="00000010" w:usb3="00000000" w:csb0="00040000" w:csb1="00000000"/>
    <w:embedRegular r:id="rId7" w:fontKey="{D76BBCE5-CB5C-46A7-8A69-D87DDD4FB2D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8" w:fontKey="{975C0413-C491-4A5A-8006-F456B8D8B336}"/>
  </w:font>
  <w:font w:name="华文中宋">
    <w:altName w:val="宋体"/>
    <w:panose1 w:val="02010600040101010101"/>
    <w:charset w:val="86"/>
    <w:family w:val="auto"/>
    <w:pitch w:val="default"/>
    <w:sig w:usb0="00000000" w:usb1="00000000" w:usb2="00000010" w:usb3="00000000" w:csb0="0004009F" w:csb1="00000000"/>
    <w:embedRegular r:id="rId9" w:fontKey="{982503A2-5BEA-48DA-B066-E3AA1F4074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DABFBC0">
        <w:pPr>
          <w:pStyle w:val="9"/>
          <w:jc w:val="center"/>
        </w:pPr>
        <w:r>
          <w:fldChar w:fldCharType="begin"/>
        </w:r>
        <w:r>
          <w:instrText xml:space="preserve">PAGE   \* MERGEFORMAT</w:instrText>
        </w:r>
        <w:r>
          <w:fldChar w:fldCharType="separate"/>
        </w:r>
        <w:r>
          <w:rPr>
            <w:lang w:val="zh-CN"/>
          </w:rPr>
          <w:t>15</w:t>
        </w:r>
        <w:r>
          <w:fldChar w:fldCharType="end"/>
        </w:r>
      </w:p>
    </w:sdtContent>
  </w:sdt>
  <w:p w14:paraId="0F01BF7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6B91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D781A"/>
    <w:multiLevelType w:val="singleLevel"/>
    <w:tmpl w:val="95FD781A"/>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EAE51A8"/>
    <w:multiLevelType w:val="singleLevel"/>
    <w:tmpl w:val="FEAE51A8"/>
    <w:lvl w:ilvl="0" w:tentative="0">
      <w:start w:val="9"/>
      <w:numFmt w:val="chineseCounting"/>
      <w:suff w:val="nothing"/>
      <w:lvlText w:val="%1、"/>
      <w:lvlJc w:val="left"/>
      <w:rPr>
        <w:rFonts w:hint="eastAsia"/>
      </w:rPr>
    </w:lvl>
  </w:abstractNum>
  <w:abstractNum w:abstractNumId="4">
    <w:nsid w:val="0EF64492"/>
    <w:multiLevelType w:val="singleLevel"/>
    <w:tmpl w:val="0EF64492"/>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38C64FA"/>
    <w:multiLevelType w:val="singleLevel"/>
    <w:tmpl w:val="138C64FA"/>
    <w:lvl w:ilvl="0" w:tentative="0">
      <w:start w:val="13"/>
      <w:numFmt w:val="chineseCounting"/>
      <w:suff w:val="nothing"/>
      <w:lvlText w:val="%1、"/>
      <w:lvlJc w:val="left"/>
      <w:rPr>
        <w:rFonts w:hint="eastAsia"/>
      </w:rPr>
    </w:lvl>
  </w:abstractNum>
  <w:abstractNum w:abstractNumId="7">
    <w:nsid w:val="3818A09A"/>
    <w:multiLevelType w:val="singleLevel"/>
    <w:tmpl w:val="3818A09A"/>
    <w:lvl w:ilvl="0" w:tentative="0">
      <w:start w:val="1"/>
      <w:numFmt w:val="chineseCounting"/>
      <w:suff w:val="nothing"/>
      <w:lvlText w:val="%1、"/>
      <w:lvlJc w:val="left"/>
      <w:rPr>
        <w:rFonts w:hint="eastAsia"/>
      </w:rPr>
    </w:lvl>
  </w:abstractNum>
  <w:num w:numId="1">
    <w:abstractNumId w:val="7"/>
  </w:num>
  <w:num w:numId="2">
    <w:abstractNumId w:val="5"/>
  </w:num>
  <w:num w:numId="3">
    <w:abstractNumId w:val="1"/>
  </w:num>
  <w:num w:numId="4">
    <w:abstractNumId w:val="4"/>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ZTVlM2I1MzNhZGZiMDJhYzBhZTNiNzMwMDUzNTIifQ=="/>
  </w:docVars>
  <w:rsids>
    <w:rsidRoot w:val="00F1361C"/>
    <w:rsid w:val="000222C6"/>
    <w:rsid w:val="0002549F"/>
    <w:rsid w:val="000468DB"/>
    <w:rsid w:val="00051F59"/>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087B70"/>
    <w:rsid w:val="03DC2831"/>
    <w:rsid w:val="045B0B65"/>
    <w:rsid w:val="04F05D5E"/>
    <w:rsid w:val="066832C0"/>
    <w:rsid w:val="081B5E94"/>
    <w:rsid w:val="087A448B"/>
    <w:rsid w:val="0A2032A3"/>
    <w:rsid w:val="0B8A37D8"/>
    <w:rsid w:val="0CFB1EF9"/>
    <w:rsid w:val="0D784B68"/>
    <w:rsid w:val="0F5FFB2F"/>
    <w:rsid w:val="0FFFCF60"/>
    <w:rsid w:val="10C055FF"/>
    <w:rsid w:val="118107EC"/>
    <w:rsid w:val="11DD6519"/>
    <w:rsid w:val="16BB723D"/>
    <w:rsid w:val="18015F3F"/>
    <w:rsid w:val="1B4B2D95"/>
    <w:rsid w:val="1BE8440E"/>
    <w:rsid w:val="1D155CEE"/>
    <w:rsid w:val="1FC55BAE"/>
    <w:rsid w:val="1FDBBF84"/>
    <w:rsid w:val="20F57F95"/>
    <w:rsid w:val="240371BF"/>
    <w:rsid w:val="242349DD"/>
    <w:rsid w:val="25711CC6"/>
    <w:rsid w:val="25C741E6"/>
    <w:rsid w:val="269921E0"/>
    <w:rsid w:val="26E86F75"/>
    <w:rsid w:val="276F80C0"/>
    <w:rsid w:val="27842671"/>
    <w:rsid w:val="29FD04D3"/>
    <w:rsid w:val="2ABE7A3E"/>
    <w:rsid w:val="2AFF09B6"/>
    <w:rsid w:val="2BAA42F0"/>
    <w:rsid w:val="2CA234A8"/>
    <w:rsid w:val="2EFA178C"/>
    <w:rsid w:val="2EFDF86C"/>
    <w:rsid w:val="2F9D17E1"/>
    <w:rsid w:val="30417DBA"/>
    <w:rsid w:val="30B46D73"/>
    <w:rsid w:val="319F7F4E"/>
    <w:rsid w:val="356A28F1"/>
    <w:rsid w:val="357C035A"/>
    <w:rsid w:val="365723A0"/>
    <w:rsid w:val="368E000D"/>
    <w:rsid w:val="383D272C"/>
    <w:rsid w:val="39936AB0"/>
    <w:rsid w:val="39AE70AB"/>
    <w:rsid w:val="3A4DCE41"/>
    <w:rsid w:val="3BCB56FA"/>
    <w:rsid w:val="3C0C0783"/>
    <w:rsid w:val="3EE7C2F4"/>
    <w:rsid w:val="3F371B56"/>
    <w:rsid w:val="3F792ED8"/>
    <w:rsid w:val="3F9F3A96"/>
    <w:rsid w:val="3FE753E0"/>
    <w:rsid w:val="3FECA4B2"/>
    <w:rsid w:val="3FF58C48"/>
    <w:rsid w:val="42FF6694"/>
    <w:rsid w:val="44B127EB"/>
    <w:rsid w:val="48BF60AB"/>
    <w:rsid w:val="493C27E9"/>
    <w:rsid w:val="496F39ED"/>
    <w:rsid w:val="49FF41D3"/>
    <w:rsid w:val="4BE068DB"/>
    <w:rsid w:val="4BF6002B"/>
    <w:rsid w:val="4BFFC6BE"/>
    <w:rsid w:val="4C88244B"/>
    <w:rsid w:val="4ECE2238"/>
    <w:rsid w:val="4F8646AD"/>
    <w:rsid w:val="50235A38"/>
    <w:rsid w:val="51DB4B86"/>
    <w:rsid w:val="51F64DB0"/>
    <w:rsid w:val="55333C3E"/>
    <w:rsid w:val="56F46FD3"/>
    <w:rsid w:val="58331687"/>
    <w:rsid w:val="5F67802D"/>
    <w:rsid w:val="5F7DC4F2"/>
    <w:rsid w:val="5FB36814"/>
    <w:rsid w:val="5FBB8E56"/>
    <w:rsid w:val="5FFB5535"/>
    <w:rsid w:val="61F55C43"/>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8AA03B8"/>
    <w:rsid w:val="79E7B28D"/>
    <w:rsid w:val="7ACFF0C2"/>
    <w:rsid w:val="7AFB9108"/>
    <w:rsid w:val="7BD5340C"/>
    <w:rsid w:val="7BFB19D2"/>
    <w:rsid w:val="7BFD1750"/>
    <w:rsid w:val="7BFDAA1B"/>
    <w:rsid w:val="7CC92907"/>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章标题"/>
    <w:basedOn w:val="1"/>
    <w:next w:val="1"/>
    <w:qFormat/>
    <w:uiPriority w:val="0"/>
    <w:pPr>
      <w:spacing w:before="0" w:beforeAutospacing="0" w:after="0" w:line="323" w:lineRule="atLeast"/>
      <w:ind w:right="-120"/>
      <w:jc w:val="center"/>
      <w:textAlignment w:val="baseline"/>
    </w:pPr>
    <w:rPr>
      <w:color w:val="FF0000"/>
      <w:sz w:val="18"/>
      <w:szCs w:val="18"/>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5"/>
    <w:link w:val="2"/>
    <w:qFormat/>
    <w:uiPriority w:val="9"/>
    <w:rPr>
      <w:rFonts w:ascii="Times New Roman" w:hAnsi="Times New Roman"/>
      <w:b/>
      <w:bCs/>
      <w:kern w:val="44"/>
      <w:sz w:val="44"/>
      <w:szCs w:val="44"/>
    </w:rPr>
  </w:style>
  <w:style w:type="character" w:customStyle="1" w:styleId="29">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5"/>
    <w:link w:val="8"/>
    <w:semiHidden/>
    <w:qFormat/>
    <w:uiPriority w:val="99"/>
    <w:rPr>
      <w:rFonts w:ascii="Times New Roman" w:hAnsi="Times New Roman"/>
      <w:kern w:val="2"/>
      <w:sz w:val="18"/>
      <w:szCs w:val="18"/>
    </w:rPr>
  </w:style>
  <w:style w:type="character" w:customStyle="1" w:styleId="32">
    <w:name w:val="标题 3 字符"/>
    <w:basedOn w:val="15"/>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4037;&#20316;&#26126;&#32454;\&#24635;&#36134;\&#21355;&#29983;&#23616;\2025\24&#20915;&#31639;&#20844;&#24320;\2024&#24180;&#36930;&#23425;&#24066;&#31532;&#22235;&#20154;&#27665;&#21307;&#38498;&#20915;&#31639;&#32479;&#35745;&#34920;-6.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4037;&#20316;&#26126;&#32454;\&#24635;&#36134;\&#21355;&#29983;&#23616;\2025\24&#20915;&#31639;&#20844;&#24320;\2024&#24180;&#36930;&#23425;&#24066;&#31532;&#22235;&#20154;&#27665;&#21307;&#38498;&#20915;&#31639;&#32479;&#35745;&#34920;-6.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180;&#26411;\2023&#24180;&#26411;\2023&#24180;&#20915;&#31639;&#20844;&#24320;\&#39044;&#20915;&#31639;&#34920;\&#20915;&#31639;&#20844;&#24320;\2023-358307-&#36930;&#23425;&#24066;&#20256;&#26579;&#30149;&#21307;&#38498;&#20915;&#31639;&#20844;&#24320;&#25253;&#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4037;&#20316;&#26126;&#32454;\&#24635;&#36134;\&#21355;&#29983;&#23616;\2025\24&#20915;&#31639;&#20844;&#24320;\2024&#24180;&#36930;&#23425;&#24066;&#31532;&#22235;&#20154;&#27665;&#21307;&#38498;&#20915;&#31639;&#32479;&#35745;&#34920;-6.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4037;&#20316;&#26126;&#32454;\&#24635;&#36134;\&#21355;&#29983;&#23616;\2025\24&#20915;&#31639;&#20844;&#24320;\2024&#24180;&#36930;&#23425;&#24066;&#31532;&#22235;&#20154;&#27665;&#21307;&#38498;&#20915;&#31639;&#32479;&#35745;&#34920;-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'[2024年遂宁市第四人民医院决算统计表-6.xls]Z02 收入支出决算表'!$E$38:$E$39</c:f>
              <c:strCache>
                <c:ptCount val="2"/>
                <c:pt idx="0">
                  <c:v>2023年</c:v>
                </c:pt>
                <c:pt idx="1">
                  <c:v>2024年</c:v>
                </c:pt>
              </c:strCache>
            </c:strRef>
          </c:cat>
          <c:val>
            <c:numRef>
              <c:f>'[2024年遂宁市第四人民医院决算统计表-6.xls]Z02 收入支出决算表'!$F$38:$F$39</c:f>
              <c:numCache>
                <c:formatCode>General</c:formatCode>
                <c:ptCount val="2"/>
                <c:pt idx="0">
                  <c:v>3272.08</c:v>
                </c:pt>
                <c:pt idx="1">
                  <c:v>2760.22</c:v>
                </c:pt>
              </c:numCache>
            </c:numRef>
          </c:val>
        </c:ser>
        <c:dLbls>
          <c:showLegendKey val="0"/>
          <c:showVal val="1"/>
          <c:showCatName val="0"/>
          <c:showSerName val="0"/>
          <c:showPercent val="0"/>
          <c:showBubbleSize val="0"/>
        </c:dLbls>
        <c:gapWidth val="246"/>
        <c:overlap val="-28"/>
        <c:axId val="85993910"/>
        <c:axId val="924092414"/>
      </c:barChart>
      <c:catAx>
        <c:axId val="859939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092414"/>
        <c:crosses val="autoZero"/>
        <c:auto val="1"/>
        <c:lblAlgn val="ctr"/>
        <c:lblOffset val="100"/>
        <c:noMultiLvlLbl val="0"/>
      </c:catAx>
      <c:valAx>
        <c:axId val="92409241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993910"/>
        <c:crosses val="autoZero"/>
        <c:crossBetween val="between"/>
      </c:valAx>
      <c:spPr>
        <a:noFill/>
        <a:ln>
          <a:noFill/>
        </a:ln>
        <a:effectLst/>
      </c:spPr>
    </c:plotArea>
    <c:plotVisOnly val="1"/>
    <c:dispBlanksAs val="gap"/>
    <c:showDLblsOverMax val="0"/>
    <c:extLst>
      <c:ext uri="{0b15fc19-7d7d-44ad-8c2d-2c3a37ce22c3}">
        <chartProps xmlns="https://web.wps.cn/et/2018/main" chartId="{b837d9e6-6e48-4667-8899-0bba659ee3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5">
                  <a:lumMod val="60000"/>
                  <a:lumOff val="40000"/>
                </a:schemeClr>
              </a:solidFill>
              <a:ln>
                <a:solidFill>
                  <a:schemeClr val="bg1"/>
                </a:solidFill>
              </a:ln>
              <a:effectLst/>
            </c:spPr>
          </c:dPt>
          <c:dPt>
            <c:idx val="1"/>
            <c:bubble3D val="0"/>
            <c:spPr>
              <a:solidFill>
                <a:schemeClr val="tx2">
                  <a:lumMod val="60000"/>
                  <a:lumOff val="40000"/>
                </a:schemeClr>
              </a:solidFill>
              <a:ln>
                <a:solidFill>
                  <a:schemeClr val="bg1"/>
                </a:solidFill>
              </a:ln>
              <a:effectLst/>
            </c:spPr>
          </c:dPt>
          <c:dPt>
            <c:idx val="2"/>
            <c:bubble3D val="0"/>
            <c:spPr>
              <a:solidFill>
                <a:schemeClr val="accent1">
                  <a:lumMod val="60000"/>
                  <a:lumOff val="40000"/>
                </a:schemeClr>
              </a:solidFill>
              <a:ln>
                <a:solidFill>
                  <a:schemeClr val="bg1"/>
                </a:solidFill>
              </a:ln>
              <a:effectLst/>
            </c:spPr>
          </c:dPt>
          <c:dLbls>
            <c:dLbl>
              <c:idx val="0"/>
              <c:layout>
                <c:manualLayout>
                  <c:x val="0.108842362276524"/>
                  <c:y val="0.046909503530748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b="1"/>
                      <a:t>财政收入272.46万元</a:t>
                    </a:r>
                    <a:endParaRPr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73947368421053"/>
                      <c:h val="0.125462962962963"/>
                    </c:manualLayout>
                  </c15:layout>
                </c:ext>
              </c:extLst>
            </c:dLbl>
            <c:dLbl>
              <c:idx val="1"/>
              <c:layout>
                <c:manualLayout>
                  <c:x val="0.128218540649232"/>
                  <c:y val="-0.087039860143079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b="1"/>
                      <a:t>事业收入1834.16万元</a:t>
                    </a:r>
                    <a:endParaRPr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80394736842105"/>
                      <c:h val="0.125"/>
                    </c:manualLayout>
                  </c15:layout>
                </c:ext>
              </c:extLst>
            </c:dLbl>
            <c:dLbl>
              <c:idx val="2"/>
              <c:layout>
                <c:manualLayout>
                  <c:x val="-0.0320408137698617"/>
                  <c:y val="0.096239993588718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b="1"/>
                      <a:t>其他收入653.6万元</a:t>
                    </a:r>
                    <a:endParaRPr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68947368421053"/>
                      <c:h val="0.111574074074074"/>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'[2024年遂宁市第四人民医院决算统计表-6.xls]Z02 收入支出决算表'!$E$50:$E$52</c:f>
              <c:strCache>
                <c:ptCount val="3"/>
                <c:pt idx="0">
                  <c:v>一般公共预算财政拨款收入</c:v>
                </c:pt>
                <c:pt idx="1">
                  <c:v>事业收入</c:v>
                </c:pt>
                <c:pt idx="2">
                  <c:v>其他收入</c:v>
                </c:pt>
              </c:strCache>
            </c:strRef>
          </c:cat>
          <c:val>
            <c:numRef>
              <c:f>'[2024年遂宁市第四人民医院决算统计表-6.xls]Z02 收入支出决算表'!$F$50:$F$52</c:f>
              <c:numCache>
                <c:formatCode>General</c:formatCode>
                <c:ptCount val="3"/>
                <c:pt idx="0">
                  <c:v>272.46</c:v>
                </c:pt>
                <c:pt idx="1">
                  <c:v>1834.16</c:v>
                </c:pt>
                <c:pt idx="2">
                  <c:v>653.6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9785113-fefa-439e-a763-c78980b1a9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sz="1600"/>
              <a:t>2024</a:t>
            </a:r>
            <a:r>
              <a:rPr altLang="en-US" sz="1600"/>
              <a:t>年</a:t>
            </a:r>
            <a:r>
              <a:rPr sz="1600"/>
              <a:t>支出决算结构图</a:t>
            </a:r>
            <a:endParaRPr sz="1600"/>
          </a:p>
        </c:rich>
      </c:tx>
      <c:layout/>
      <c:overlay val="0"/>
      <c:spPr>
        <a:noFill/>
        <a:ln>
          <a:noFill/>
        </a:ln>
        <a:effectLst/>
      </c:spPr>
    </c:title>
    <c:autoTitleDeleted val="0"/>
    <c:plotArea>
      <c:layout/>
      <c:pieChart>
        <c:varyColors val="1"/>
        <c:ser>
          <c:idx val="0"/>
          <c:order val="0"/>
          <c:spPr/>
          <c:explosion val="0"/>
          <c:dPt>
            <c:idx val="0"/>
            <c:bubble3D val="0"/>
            <c:spPr>
              <a:solidFill>
                <a:schemeClr val="tx2">
                  <a:lumMod val="60000"/>
                  <a:lumOff val="40000"/>
                </a:schemeClr>
              </a:solidFill>
              <a:ln>
                <a:solidFill>
                  <a:schemeClr val="bg1"/>
                </a:solidFill>
              </a:ln>
              <a:effectLst/>
            </c:spPr>
          </c:dPt>
          <c:dPt>
            <c:idx val="1"/>
            <c:bubble3D val="0"/>
            <c:spPr>
              <a:solidFill>
                <a:schemeClr val="accent5">
                  <a:lumMod val="60000"/>
                  <a:lumOff val="40000"/>
                </a:schemeClr>
              </a:solidFill>
              <a:ln>
                <a:solidFill>
                  <a:schemeClr val="bg1"/>
                </a:solidFill>
              </a:ln>
              <a:effectLst/>
            </c:spPr>
          </c:dPt>
          <c:dLbls>
            <c:dLbl>
              <c:idx val="0"/>
              <c:layout>
                <c:manualLayout>
                  <c:x val="0.152414321929178"/>
                  <c:y val="-0.031741742741413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200" b="1"/>
                      <a:t>基本支出</a:t>
                    </a:r>
                    <a:r>
                      <a:rPr lang="en-US" altLang="zh-CN" sz="1200" b="1"/>
                      <a:t>2487.76</a:t>
                    </a:r>
                    <a:r>
                      <a:rPr sz="1200" b="1"/>
                      <a:t>万元，占90.1</a:t>
                    </a:r>
                    <a:r>
                      <a:rPr lang="en-US" altLang="zh-CN" sz="1200" b="1"/>
                      <a:t>3</a:t>
                    </a:r>
                    <a:r>
                      <a:rPr sz="1200" b="1"/>
                      <a:t>%</a:t>
                    </a:r>
                    <a:endParaRPr sz="1200" b="1"/>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33184855233853"/>
                      <c:h val="0.125117370892019"/>
                    </c:manualLayout>
                  </c15:layout>
                </c:ext>
              </c:extLst>
            </c:dLbl>
            <c:dLbl>
              <c:idx val="1"/>
              <c:layout>
                <c:manualLayout>
                  <c:x val="-0.173002979585299"/>
                  <c:y val="0.17965174089189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200" b="1"/>
                      <a:t>项目支出</a:t>
                    </a:r>
                    <a:r>
                      <a:rPr lang="en-US" altLang="zh-CN" sz="1200" b="1"/>
                      <a:t>272.46</a:t>
                    </a:r>
                    <a:endParaRPr lang="en-US" altLang="zh-CN" sz="1200" b="1"/>
                  </a:p>
                  <a:p>
                    <a:pPr defTabSz="914400">
                      <a:defRPr lang="zh-CN" sz="1000" b="0" i="0" u="none" strike="noStrike" kern="1200" baseline="0">
                        <a:solidFill>
                          <a:schemeClr val="tx1">
                            <a:lumMod val="75000"/>
                            <a:lumOff val="25000"/>
                          </a:schemeClr>
                        </a:solidFill>
                        <a:latin typeface="+mn-lt"/>
                        <a:ea typeface="+mn-ea"/>
                        <a:cs typeface="+mn-cs"/>
                      </a:defRPr>
                    </a:pPr>
                    <a:r>
                      <a:rPr altLang="en-US" sz="1200" b="1"/>
                      <a:t>万元，占</a:t>
                    </a:r>
                    <a:r>
                      <a:rPr lang="en-US" altLang="zh-CN" sz="1200" b="1"/>
                      <a:t>9.87</a:t>
                    </a:r>
                    <a:r>
                      <a:rPr sz="1200" b="1"/>
                      <a:t>%</a:t>
                    </a:r>
                    <a:endParaRPr sz="1200" b="1"/>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3552631578947"/>
                      <c:h val="0.15625"/>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'[2023-358307-遂宁市传染病医院决算公开报表.xls]Sheet1'!$F$62:$F$63</c:f>
              <c:strCache>
                <c:ptCount val="2"/>
                <c:pt idx="0">
                  <c:v>基本支出</c:v>
                </c:pt>
                <c:pt idx="1">
                  <c:v>项目支出</c:v>
                </c:pt>
              </c:strCache>
            </c:strRef>
          </c:cat>
          <c:val>
            <c:numRef>
              <c:f>'[2023-358307-遂宁市传染病医院决算公开报表.xls]Sheet1'!$G$62:$G$63</c:f>
              <c:numCache>
                <c:formatCode>General</c:formatCode>
                <c:ptCount val="2"/>
                <c:pt idx="0">
                  <c:v>2950.38</c:v>
                </c:pt>
                <c:pt idx="1">
                  <c:v>321.71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c168196-0ee9-4583-a814-82c57be38e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708684210526316"/>
          <c:y val="0.180092592592593"/>
          <c:w val="0.895578947368421"/>
          <c:h val="0.70796296296296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'[2024年遂宁市第四人民医院决算统计表-6.xls]Z02 收入支出决算表'!$E$61:$E$62</c:f>
              <c:strCache>
                <c:ptCount val="2"/>
                <c:pt idx="0">
                  <c:v>2023年</c:v>
                </c:pt>
                <c:pt idx="1">
                  <c:v>2024年</c:v>
                </c:pt>
              </c:strCache>
            </c:strRef>
          </c:cat>
          <c:val>
            <c:numRef>
              <c:f>'[2024年遂宁市第四人民医院决算统计表-6.xls]Z02 收入支出决算表'!$F$61:$F$62</c:f>
              <c:numCache>
                <c:formatCode>General</c:formatCode>
                <c:ptCount val="2"/>
                <c:pt idx="0">
                  <c:v>321.71</c:v>
                </c:pt>
                <c:pt idx="1">
                  <c:v>272.46</c:v>
                </c:pt>
              </c:numCache>
            </c:numRef>
          </c:val>
        </c:ser>
        <c:dLbls>
          <c:showLegendKey val="0"/>
          <c:showVal val="1"/>
          <c:showCatName val="0"/>
          <c:showSerName val="0"/>
          <c:showPercent val="0"/>
          <c:showBubbleSize val="0"/>
        </c:dLbls>
        <c:gapWidth val="246"/>
        <c:overlap val="-28"/>
        <c:axId val="438548478"/>
        <c:axId val="177515261"/>
      </c:barChart>
      <c:catAx>
        <c:axId val="4385484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515261"/>
        <c:crosses val="autoZero"/>
        <c:auto val="1"/>
        <c:lblAlgn val="ctr"/>
        <c:lblOffset val="100"/>
        <c:noMultiLvlLbl val="0"/>
      </c:catAx>
      <c:valAx>
        <c:axId val="17751526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8548478"/>
        <c:crosses val="autoZero"/>
        <c:crossBetween val="between"/>
      </c:valAx>
      <c:spPr>
        <a:noFill/>
        <a:ln>
          <a:noFill/>
        </a:ln>
        <a:effectLst/>
      </c:spPr>
    </c:plotArea>
    <c:plotVisOnly val="1"/>
    <c:dispBlanksAs val="gap"/>
    <c:showDLblsOverMax val="0"/>
    <c:extLst>
      <c:ext uri="{0b15fc19-7d7d-44ad-8c2d-2c3a37ce22c3}">
        <chartProps xmlns="https://web.wps.cn/et/2018/main" chartId="{ce2030b0-1a7d-4544-b654-d6da2f5d264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a:t>
            </a: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'[2024年遂宁市第四人民医院决算统计表-6.xls]Z02 收入支出决算表'!$E$80:$E$83</c:f>
              <c:strCache>
                <c:ptCount val="4"/>
                <c:pt idx="0">
                  <c:v>2023年总支出</c:v>
                </c:pt>
                <c:pt idx="1">
                  <c:v>2024年总支出</c:v>
                </c:pt>
                <c:pt idx="2">
                  <c:v>2023年财政支出</c:v>
                </c:pt>
                <c:pt idx="3">
                  <c:v>2024年财政支出</c:v>
                </c:pt>
              </c:strCache>
            </c:strRef>
          </c:cat>
          <c:val>
            <c:numRef>
              <c:f>'[2024年遂宁市第四人民医院决算统计表-6.xls]Z02 收入支出决算表'!$F$80:$F$83</c:f>
              <c:numCache>
                <c:formatCode>General</c:formatCode>
                <c:ptCount val="4"/>
                <c:pt idx="0">
                  <c:v>3272.08</c:v>
                </c:pt>
                <c:pt idx="1">
                  <c:v>2760.22</c:v>
                </c:pt>
                <c:pt idx="2">
                  <c:v>321.71</c:v>
                </c:pt>
                <c:pt idx="3">
                  <c:v>272.46</c:v>
                </c:pt>
              </c:numCache>
            </c:numRef>
          </c:val>
        </c:ser>
        <c:dLbls>
          <c:showLegendKey val="0"/>
          <c:showVal val="1"/>
          <c:showCatName val="0"/>
          <c:showSerName val="0"/>
          <c:showPercent val="0"/>
          <c:showBubbleSize val="0"/>
        </c:dLbls>
        <c:gapWidth val="246"/>
        <c:overlap val="-28"/>
        <c:axId val="641591398"/>
        <c:axId val="398167545"/>
      </c:barChart>
      <c:catAx>
        <c:axId val="6415913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8167545"/>
        <c:crosses val="autoZero"/>
        <c:auto val="1"/>
        <c:lblAlgn val="ctr"/>
        <c:lblOffset val="100"/>
        <c:noMultiLvlLbl val="0"/>
      </c:catAx>
      <c:valAx>
        <c:axId val="39816754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591398"/>
        <c:crosses val="autoZero"/>
        <c:crossBetween val="between"/>
      </c:valAx>
      <c:spPr>
        <a:noFill/>
        <a:ln>
          <a:noFill/>
        </a:ln>
        <a:effectLst/>
      </c:spPr>
    </c:plotArea>
    <c:plotVisOnly val="1"/>
    <c:dispBlanksAs val="gap"/>
    <c:showDLblsOverMax val="0"/>
    <c:extLst>
      <c:ext uri="{0b15fc19-7d7d-44ad-8c2d-2c3a37ce22c3}">
        <chartProps xmlns="https://web.wps.cn/et/2018/main" chartId="{4a469c90-2683-4142-bba9-21b884553f4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1915</Words>
  <Characters>2134</Characters>
  <Lines>54</Lines>
  <Paragraphs>15</Paragraphs>
  <TotalTime>170</TotalTime>
  <ScaleCrop>false</ScaleCrop>
  <LinksUpToDate>false</LinksUpToDate>
  <CharactersWithSpaces>2147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霖</cp:lastModifiedBy>
  <cp:lastPrinted>2025-08-18T07:37:00Z</cp:lastPrinted>
  <dcterms:modified xsi:type="dcterms:W3CDTF">2025-08-19T07:37:38Z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81B248A9E4424286A4FC55FDB4097975_13</vt:lpwstr>
  </property>
  <property fmtid="{D5CDD505-2E9C-101B-9397-08002B2CF9AE}" pid="4" name="KSOTemplateDocerSaveRecord">
    <vt:lpwstr>eyJoZGlkIjoiMGJlZTVlM2I1MzNhZGZiMDJhYzBhZTNiNzMwMDUzNTIiLCJ1c2VySWQiOiI0NTM5NzYwNjMifQ==</vt:lpwstr>
  </property>
</Properties>
</file>