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377ED">
      <w:pPr>
        <w:pStyle w:val="12"/>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78149B16">
      <w:pPr>
        <w:pStyle w:val="1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遂宁市卫生健康综合行政执法支队</w:t>
      </w:r>
    </w:p>
    <w:p w14:paraId="75CAC717">
      <w:pPr>
        <w:pStyle w:val="1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default" w:ascii="方正小标宋简体" w:hAnsi="方正小标宋简体" w:eastAsia="方正小标宋简体" w:cs="方正小标宋简体"/>
          <w:color w:val="auto"/>
          <w:kern w:val="2"/>
          <w:sz w:val="44"/>
          <w:szCs w:val="44"/>
          <w:highlight w:val="none"/>
          <w:lang w:val="en-US" w:eastAsia="zh-CN"/>
        </w:rPr>
        <w:t>2024年中医药传承创新市级补助资金</w:t>
      </w:r>
    </w:p>
    <w:p w14:paraId="278BA8B1">
      <w:pPr>
        <w:pStyle w:val="1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绩效自评报告</w:t>
      </w:r>
    </w:p>
    <w:p w14:paraId="5D818780">
      <w:pPr>
        <w:pStyle w:val="1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sz w:val="32"/>
          <w:szCs w:val="32"/>
          <w:highlight w:val="none"/>
        </w:rPr>
      </w:pPr>
    </w:p>
    <w:p w14:paraId="14440AD5">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2B2ACF7B">
      <w:pPr>
        <w:spacing w:line="560" w:lineRule="exact"/>
        <w:ind w:firstLine="643" w:firstLineChars="200"/>
        <w:jc w:val="left"/>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eastAsia="仿宋_GB2312"/>
          <w:color w:val="000000"/>
          <w:sz w:val="32"/>
          <w:szCs w:val="32"/>
          <w:lang w:val="en-US" w:eastAsia="zh-CN"/>
        </w:rPr>
        <w:t>按照遂宁市</w:t>
      </w:r>
      <w:r>
        <w:rPr>
          <w:rFonts w:hint="eastAsia" w:ascii="仿宋_GB2312"/>
          <w:color w:val="000000"/>
          <w:sz w:val="32"/>
          <w:szCs w:val="32"/>
          <w:lang w:val="en-US" w:eastAsia="zh-CN"/>
        </w:rPr>
        <w:t>卫生健康委员会增强中医药法制观念、</w:t>
      </w:r>
      <w:r>
        <w:rPr>
          <w:rFonts w:hint="eastAsia" w:ascii="仿宋_GB2312" w:hAnsi="仿宋_GB2312" w:cs="Times New Roman"/>
          <w:color w:val="000000"/>
          <w:sz w:val="32"/>
          <w:szCs w:val="32"/>
          <w:lang w:val="en-US" w:eastAsia="zh-CN"/>
        </w:rPr>
        <w:t>加强中医药服务体系建设要求</w:t>
      </w:r>
      <w:r>
        <w:rPr>
          <w:rFonts w:hint="eastAsia" w:ascii="仿宋_GB2312" w:eastAsia="仿宋_GB2312"/>
          <w:color w:val="000000"/>
          <w:sz w:val="32"/>
          <w:szCs w:val="32"/>
          <w:lang w:val="en-US" w:eastAsia="zh-CN"/>
        </w:rPr>
        <w:t>，</w:t>
      </w:r>
      <w:r>
        <w:rPr>
          <w:rFonts w:hint="eastAsia" w:ascii="仿宋_GB2312"/>
          <w:color w:val="000000"/>
          <w:sz w:val="32"/>
          <w:szCs w:val="32"/>
          <w:lang w:val="en-US" w:eastAsia="zh-CN"/>
        </w:rPr>
        <w:t>遂宁市卫生健康综合行政执法</w:t>
      </w:r>
      <w:r>
        <w:rPr>
          <w:rFonts w:hint="eastAsia" w:ascii="仿宋_GB2312" w:eastAsia="仿宋_GB2312"/>
          <w:color w:val="000000"/>
          <w:sz w:val="32"/>
          <w:szCs w:val="32"/>
          <w:lang w:val="en-US" w:eastAsia="zh-CN"/>
        </w:rPr>
        <w:t>支队为全面</w:t>
      </w:r>
      <w:r>
        <w:rPr>
          <w:rFonts w:hint="eastAsia" w:ascii="仿宋_GB2312" w:hAnsi="仿宋_GB2312" w:cs="Times New Roman"/>
          <w:color w:val="000000"/>
          <w:sz w:val="32"/>
          <w:szCs w:val="32"/>
          <w:lang w:val="en-US" w:eastAsia="zh-CN"/>
        </w:rPr>
        <w:t>提升执法人员中医药监督执法能力，进一步规范中医药服务和市场秩序，举办了一期中医药监督知识与能力提升培训班。2024年中医药传承创新市级补助资金10万元，全部用于举办中医药执法能力培训。</w:t>
      </w:r>
    </w:p>
    <w:p w14:paraId="233D6DF0">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color w:val="auto"/>
          <w:kern w:val="0"/>
          <w:sz w:val="32"/>
          <w:szCs w:val="32"/>
          <w:highlight w:val="none"/>
          <w:u w:val="none"/>
          <w:shd w:val="clear" w:color="auto" w:fill="FFFFFF"/>
          <w:lang w:val="en-US" w:eastAsia="zh-CN"/>
        </w:rPr>
        <w:t>提升监管专业能力。通过系统化培训增强中医药监督执法人员的法规政策理解力及执法规范水平，构建与《中医药法》相匹配的专业化监管队伍。项目支持方向主要是审计相关财政资金补助，建立"培训投入-能力提升-监管成效"的可量化评估机制，确保财政资金精准支持行业短板领域。</w:t>
      </w:r>
    </w:p>
    <w:p w14:paraId="23AE791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cs="仿宋_GB2312"/>
          <w:color w:val="auto"/>
          <w:kern w:val="0"/>
          <w:sz w:val="32"/>
          <w:szCs w:val="32"/>
          <w:highlight w:val="none"/>
          <w:u w:val="none"/>
          <w:shd w:val="clear" w:color="auto" w:fill="FFFFFF"/>
          <w:lang w:val="zh-CN" w:eastAsia="zh-CN"/>
        </w:rPr>
        <w:t>项目</w:t>
      </w:r>
      <w:r>
        <w:rPr>
          <w:rFonts w:hint="eastAsia" w:ascii="仿宋_GB2312" w:hAnsi="仿宋_GB2312" w:cs="Times New Roman"/>
          <w:color w:val="000000"/>
          <w:sz w:val="32"/>
          <w:szCs w:val="32"/>
          <w:lang w:val="en-US" w:eastAsia="zh-CN"/>
        </w:rPr>
        <w:t>2024年中医药传承创新市级补助资金10万元</w:t>
      </w:r>
      <w:r>
        <w:rPr>
          <w:rFonts w:hint="eastAsia" w:ascii="仿宋_GB2312" w:hAnsi="仿宋_GB2312" w:cs="仿宋_GB2312"/>
          <w:color w:val="auto"/>
          <w:kern w:val="0"/>
          <w:sz w:val="32"/>
          <w:szCs w:val="32"/>
          <w:highlight w:val="none"/>
          <w:u w:val="none"/>
          <w:shd w:val="clear" w:color="auto" w:fill="FFFFFF"/>
          <w:lang w:val="en-US" w:eastAsia="zh-CN"/>
        </w:rPr>
        <w:t>，均用于</w:t>
      </w:r>
      <w:r>
        <w:rPr>
          <w:rFonts w:hint="eastAsia" w:ascii="仿宋_GB2312" w:hAnsi="仿宋_GB2312" w:cs="Times New Roman"/>
          <w:color w:val="000000"/>
          <w:sz w:val="32"/>
          <w:szCs w:val="32"/>
          <w:lang w:val="en-US" w:eastAsia="zh-CN"/>
        </w:rPr>
        <w:t>举办中医药执法能力培训场地、资料、专家授课、住宿用餐等费用支出</w:t>
      </w:r>
      <w:r>
        <w:rPr>
          <w:rFonts w:hint="eastAsia" w:ascii="仿宋_GB2312" w:hAnsi="仿宋_GB2312" w:cs="仿宋_GB2312"/>
          <w:color w:val="auto"/>
          <w:kern w:val="0"/>
          <w:sz w:val="32"/>
          <w:szCs w:val="32"/>
          <w:highlight w:val="none"/>
          <w:u w:val="none"/>
          <w:shd w:val="clear" w:color="auto" w:fill="FFFFFF"/>
          <w:lang w:val="en-US" w:eastAsia="zh-CN"/>
        </w:rPr>
        <w:t>。</w:t>
      </w:r>
    </w:p>
    <w:p w14:paraId="6E3FF7F1">
      <w:pPr>
        <w:keepNext w:val="0"/>
        <w:keepLines w:val="0"/>
        <w:pageBreakBefore w:val="0"/>
        <w:kinsoku/>
        <w:wordWrap/>
        <w:overflowPunct/>
        <w:topLinePunct w:val="0"/>
        <w:autoSpaceDE/>
        <w:autoSpaceDN/>
        <w:bidi w:val="0"/>
        <w:adjustRightInd/>
        <w:snapToGrid/>
        <w:spacing w:line="590" w:lineRule="exact"/>
        <w:ind w:left="0" w:leftChars="0" w:right="0" w:righ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cs="仿宋_GB2312"/>
          <w:color w:val="auto"/>
          <w:kern w:val="0"/>
          <w:sz w:val="32"/>
          <w:szCs w:val="32"/>
          <w:highlight w:val="none"/>
          <w:u w:val="none"/>
          <w:shd w:val="clear" w:color="auto" w:fill="FFFFFF"/>
          <w:lang w:val="zh-CN" w:eastAsia="zh-CN"/>
        </w:rPr>
        <w:t>项目整体</w:t>
      </w:r>
      <w:r>
        <w:rPr>
          <w:rFonts w:hint="eastAsia" w:ascii="仿宋_GB2312" w:hAnsi="仿宋_GB2312" w:cs="仿宋_GB2312"/>
          <w:color w:val="auto"/>
          <w:kern w:val="0"/>
          <w:sz w:val="32"/>
          <w:szCs w:val="32"/>
          <w:highlight w:val="none"/>
          <w:u w:val="none"/>
          <w:shd w:val="clear" w:color="auto" w:fill="FFFFFF"/>
          <w:lang w:val="en-US" w:eastAsia="zh-CN"/>
        </w:rPr>
        <w:t>设置了项目决策、项目管理、项目实施等指标，在项目支出绩效方面分别设置了预数量指标、质量指标、时效指标等项具体指标。</w:t>
      </w:r>
    </w:p>
    <w:p w14:paraId="4C0DD0E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highlight w:val="none"/>
          <w:lang w:eastAsia="zh-CN"/>
        </w:rPr>
      </w:pPr>
      <w:r>
        <w:rPr>
          <w:rFonts w:hint="eastAsia" w:ascii="黑体" w:hAnsi="宋体" w:eastAsia="黑体"/>
          <w:highlight w:val="none"/>
        </w:rPr>
        <w:t>二、</w:t>
      </w:r>
      <w:r>
        <w:rPr>
          <w:rFonts w:hint="eastAsia" w:ascii="黑体" w:hAnsi="宋体" w:eastAsia="黑体"/>
          <w:highlight w:val="none"/>
          <w:lang w:eastAsia="zh-CN"/>
        </w:rPr>
        <w:t>评价实施</w:t>
      </w:r>
    </w:p>
    <w:p w14:paraId="46475E8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cs="仿宋_GB2312"/>
          <w:color w:val="auto"/>
          <w:kern w:val="0"/>
          <w:sz w:val="32"/>
          <w:szCs w:val="32"/>
          <w:highlight w:val="none"/>
          <w:u w:val="none"/>
          <w:shd w:val="clear" w:color="auto" w:fill="FFFFFF"/>
          <w:lang w:val="zh-CN" w:eastAsia="zh-CN"/>
        </w:rPr>
        <w:t>通过项目绩效自评，评价资金使用的科学性、合理性和有效性，分析存在的问题，提出完善资金管理的制度机制、提升资金使用效益的相关建议，为以后年度相关决策提供参考依据。</w:t>
      </w:r>
    </w:p>
    <w:p w14:paraId="2C6E275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eastAsia="仿宋_GB2312" w:cs="Times New Roman"/>
          <w:szCs w:val="32"/>
        </w:rPr>
        <w:t>按照绩效评价指标体系，对资金支出使用全过程及其实施效果进行综合评价和判断。并对预算执行情况进行重点评价，确保资金发挥效益</w:t>
      </w:r>
      <w:r>
        <w:rPr>
          <w:rFonts w:hint="eastAsia" w:cs="Times New Roman"/>
          <w:szCs w:val="32"/>
          <w:lang w:eastAsia="zh-CN"/>
        </w:rPr>
        <w:t>。</w:t>
      </w:r>
    </w:p>
    <w:p w14:paraId="039E2F4B">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Cs w:val="32"/>
          <w:lang w:val="zh-CN"/>
        </w:rPr>
      </w:pPr>
      <w:r>
        <w:rPr>
          <w:rFonts w:hint="eastAsia" w:ascii="楷体_GB2312" w:hAnsi="宋体" w:eastAsia="楷体_GB2312"/>
          <w:b/>
          <w:color w:val="auto"/>
          <w:sz w:val="32"/>
          <w:szCs w:val="32"/>
          <w:highlight w:val="none"/>
          <w:u w:val="none"/>
          <w:lang w:val="zh-CN"/>
        </w:rPr>
        <w:t>（三）评价选点。</w:t>
      </w:r>
      <w:r>
        <w:rPr>
          <w:rFonts w:hint="eastAsia" w:eastAsia="仿宋_GB2312" w:cs="Times New Roman"/>
          <w:szCs w:val="32"/>
          <w:lang w:val="zh-CN"/>
        </w:rPr>
        <w:t>对项目整体情况进行绩效自评。</w:t>
      </w:r>
    </w:p>
    <w:p w14:paraId="125E6A4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eastAsia="仿宋_GB2312" w:cs="Times New Roman"/>
          <w:szCs w:val="32"/>
        </w:rPr>
        <w:t>单位自评法</w:t>
      </w:r>
      <w:r>
        <w:rPr>
          <w:rFonts w:hint="eastAsia" w:cs="Times New Roman"/>
          <w:szCs w:val="32"/>
          <w:lang w:eastAsia="zh-CN"/>
        </w:rPr>
        <w:t>。</w:t>
      </w:r>
    </w:p>
    <w:p w14:paraId="1ED7C0F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eastAsia="仿宋_GB2312" w:cs="Times New Roman"/>
          <w:szCs w:val="32"/>
        </w:rPr>
        <w:t>由</w:t>
      </w:r>
      <w:r>
        <w:rPr>
          <w:rFonts w:hint="eastAsia" w:cs="Times New Roman"/>
          <w:szCs w:val="32"/>
          <w:lang w:val="en-US" w:eastAsia="zh-CN"/>
        </w:rPr>
        <w:t>支队主要领导任组长，分管领导任副组长，办公室牵头具体负责开展绩效评价和监控，</w:t>
      </w:r>
      <w:r>
        <w:rPr>
          <w:rFonts w:hint="eastAsia" w:eastAsia="仿宋_GB2312" w:cs="Times New Roman"/>
          <w:szCs w:val="32"/>
        </w:rPr>
        <w:t>在资金支付实施过程中</w:t>
      </w:r>
      <w:r>
        <w:rPr>
          <w:rFonts w:hint="eastAsia" w:cs="Times New Roman"/>
          <w:szCs w:val="32"/>
          <w:lang w:val="en-US" w:eastAsia="zh-CN"/>
        </w:rPr>
        <w:t>支队纪检委员</w:t>
      </w:r>
      <w:r>
        <w:rPr>
          <w:rFonts w:hint="eastAsia" w:eastAsia="仿宋_GB2312" w:cs="Times New Roman"/>
          <w:szCs w:val="32"/>
        </w:rPr>
        <w:t>全程监督，对发现的问题提出整改意见。</w:t>
      </w:r>
    </w:p>
    <w:p w14:paraId="38A0015F">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1AD4D19">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cs="Times New Roman"/>
          <w:szCs w:val="32"/>
          <w:lang w:val="en-US" w:eastAsia="zh-CN"/>
        </w:rPr>
      </w:pPr>
      <w:r>
        <w:rPr>
          <w:rFonts w:hint="default" w:eastAsia="仿宋_GB2312" w:cs="Times New Roman"/>
          <w:szCs w:val="32"/>
          <w:lang w:val="zh-CN" w:eastAsia="zh-CN"/>
        </w:rPr>
        <w:t>根据</w:t>
      </w:r>
      <w:r>
        <w:rPr>
          <w:rFonts w:hint="eastAsia" w:eastAsia="仿宋_GB2312" w:cs="Times New Roman"/>
          <w:szCs w:val="32"/>
          <w:lang w:val="zh-CN" w:eastAsia="zh-CN"/>
        </w:rPr>
        <w:t>项目</w:t>
      </w:r>
      <w:r>
        <w:rPr>
          <w:rFonts w:hint="default" w:eastAsia="仿宋_GB2312" w:cs="Times New Roman"/>
          <w:szCs w:val="32"/>
          <w:lang w:val="zh-CN" w:eastAsia="zh-CN"/>
        </w:rPr>
        <w:t>预算绩效评价指标体系</w:t>
      </w:r>
      <w:r>
        <w:rPr>
          <w:rFonts w:hint="eastAsia" w:cs="Times New Roman"/>
          <w:szCs w:val="32"/>
          <w:lang w:val="en-US" w:eastAsia="zh-CN"/>
        </w:rPr>
        <w:t>共设置了</w:t>
      </w:r>
      <w:r>
        <w:rPr>
          <w:rFonts w:hint="default" w:eastAsia="仿宋_GB2312" w:cs="Times New Roman"/>
          <w:szCs w:val="32"/>
          <w:lang w:val="zh-CN" w:eastAsia="zh-CN"/>
        </w:rPr>
        <w:t>“</w:t>
      </w:r>
      <w:r>
        <w:rPr>
          <w:rFonts w:hint="eastAsia" w:eastAsia="仿宋_GB2312" w:cs="Times New Roman"/>
          <w:szCs w:val="32"/>
          <w:lang w:val="zh-CN" w:eastAsia="zh-CN"/>
        </w:rPr>
        <w:t>通用指标</w:t>
      </w:r>
      <w:r>
        <w:rPr>
          <w:rFonts w:hint="default" w:eastAsia="仿宋_GB2312" w:cs="Times New Roman"/>
          <w:szCs w:val="32"/>
          <w:lang w:val="zh-CN" w:eastAsia="zh-CN"/>
        </w:rPr>
        <w:t>”</w:t>
      </w:r>
      <w:r>
        <w:rPr>
          <w:rFonts w:hint="eastAsia" w:eastAsia="仿宋_GB2312" w:cs="Times New Roman"/>
          <w:szCs w:val="32"/>
          <w:lang w:val="zh-CN" w:eastAsia="zh-CN"/>
        </w:rPr>
        <w:t>“专用指标”“个性指标”</w:t>
      </w:r>
      <w:r>
        <w:rPr>
          <w:rFonts w:hint="eastAsia" w:cs="Times New Roman"/>
          <w:szCs w:val="32"/>
          <w:lang w:val="zh-CN" w:eastAsia="zh-CN"/>
        </w:rPr>
        <w:t>，</w:t>
      </w:r>
      <w:r>
        <w:rPr>
          <w:rFonts w:hint="eastAsia" w:eastAsia="仿宋_GB2312" w:cs="Times New Roman"/>
          <w:szCs w:val="32"/>
          <w:lang w:val="zh-CN" w:eastAsia="zh-CN"/>
        </w:rPr>
        <w:t>项目应实现的具体绩效目标，包括</w:t>
      </w:r>
      <w:r>
        <w:rPr>
          <w:rFonts w:hint="eastAsia" w:cs="Times New Roman"/>
          <w:szCs w:val="32"/>
          <w:lang w:val="zh-CN" w:eastAsia="zh-CN"/>
        </w:rPr>
        <w:t>培训规模与覆盖、培训后能力达标要求</w:t>
      </w:r>
      <w:r>
        <w:rPr>
          <w:rFonts w:hint="eastAsia" w:cs="Times New Roman"/>
          <w:szCs w:val="32"/>
          <w:lang w:val="en-US" w:eastAsia="zh-CN"/>
        </w:rPr>
        <w:t xml:space="preserve">等。  </w:t>
      </w:r>
    </w:p>
    <w:p w14:paraId="24DE9EE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18E9B0E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1.项目决策。</w:t>
      </w:r>
      <w:r>
        <w:rPr>
          <w:rFonts w:hint="eastAsia" w:eastAsia="仿宋_GB2312" w:cs="Times New Roman"/>
          <w:szCs w:val="32"/>
          <w:lang w:val="zh-CN" w:eastAsia="zh-CN"/>
        </w:rPr>
        <w:t>项目决策程序合规、规划论证有效、资金投向符合要求。</w:t>
      </w:r>
    </w:p>
    <w:p w14:paraId="352CBAF6">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2.项目管理。</w:t>
      </w:r>
      <w:r>
        <w:rPr>
          <w:rFonts w:hint="eastAsia" w:eastAsia="仿宋_GB2312" w:cs="Times New Roman"/>
          <w:szCs w:val="32"/>
          <w:lang w:val="zh-CN" w:eastAsia="zh-CN"/>
        </w:rPr>
        <w:t>项目制度办法健全、分配管理规范、绩效监管发挥积极作用。</w:t>
      </w:r>
    </w:p>
    <w:p w14:paraId="6925D70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3.项目实施。</w:t>
      </w:r>
      <w:r>
        <w:rPr>
          <w:rFonts w:hint="eastAsia" w:eastAsia="仿宋_GB2312" w:cs="Times New Roman"/>
          <w:szCs w:val="32"/>
          <w:lang w:val="zh-CN" w:eastAsia="zh-CN"/>
        </w:rPr>
        <w:t>项目预算执行符合进度要求、资金使用符合管理办法要求。</w:t>
      </w:r>
    </w:p>
    <w:p w14:paraId="475163A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eastAsia="仿宋_GB2312" w:cs="Times New Roman"/>
          <w:szCs w:val="32"/>
          <w:lang w:val="zh-CN" w:eastAsia="zh-CN"/>
        </w:rPr>
      </w:pPr>
      <w:r>
        <w:rPr>
          <w:rFonts w:hint="eastAsia" w:ascii="楷体_GB2312" w:hAnsi="宋体" w:eastAsia="楷体_GB2312" w:cs="Times New Roman"/>
          <w:b w:val="0"/>
          <w:bCs/>
          <w:color w:val="auto"/>
          <w:sz w:val="32"/>
          <w:szCs w:val="32"/>
          <w:highlight w:val="none"/>
          <w:u w:val="none"/>
          <w:lang w:val="zh-CN"/>
        </w:rPr>
        <w:t>4.项目结果。</w:t>
      </w:r>
      <w:r>
        <w:rPr>
          <w:rFonts w:hint="eastAsia" w:eastAsia="仿宋_GB2312" w:cs="Times New Roman"/>
          <w:szCs w:val="32"/>
          <w:lang w:val="zh-CN" w:eastAsia="zh-CN"/>
        </w:rPr>
        <w:t>项目年度目标任务完成、完成时效符合要求。</w:t>
      </w:r>
    </w:p>
    <w:p w14:paraId="2301B445">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039FC882">
      <w:pPr>
        <w:keepNext w:val="0"/>
        <w:keepLines w:val="0"/>
        <w:pageBreakBefore w:val="0"/>
        <w:widowControl w:val="0"/>
        <w:kinsoku/>
        <w:wordWrap/>
        <w:overflowPunct/>
        <w:topLinePunct w:val="0"/>
        <w:autoSpaceDE/>
        <w:autoSpaceDN/>
        <w:bidi w:val="0"/>
        <w:adjustRightInd/>
        <w:snapToGrid/>
        <w:spacing w:line="590" w:lineRule="exact"/>
        <w:ind w:left="320" w:leftChars="100" w:right="0" w:rightChars="0" w:firstLine="320" w:firstLineChars="100"/>
        <w:textAlignment w:val="auto"/>
        <w:outlineLvl w:val="9"/>
        <w:rPr>
          <w:rFonts w:hint="eastAsia" w:cs="Times New Roman"/>
          <w:color w:val="auto"/>
          <w:szCs w:val="32"/>
          <w:lang w:eastAsia="zh-CN"/>
        </w:rPr>
      </w:pPr>
      <w:r>
        <w:rPr>
          <w:rFonts w:hint="eastAsia" w:ascii="楷体_GB2312" w:hAnsi="宋体" w:eastAsia="楷体_GB2312" w:cs="Times New Roman"/>
          <w:b w:val="0"/>
          <w:bCs/>
          <w:color w:val="auto"/>
          <w:sz w:val="32"/>
          <w:szCs w:val="32"/>
          <w:highlight w:val="none"/>
          <w:u w:val="none"/>
          <w:lang w:val="en-US" w:eastAsia="zh-CN"/>
        </w:rPr>
        <w:t>1.</w:t>
      </w:r>
      <w:r>
        <w:rPr>
          <w:rFonts w:hint="eastAsia" w:ascii="楷体_GB2312" w:hAnsi="宋体" w:eastAsia="楷体_GB2312" w:cs="Times New Roman"/>
          <w:b w:val="0"/>
          <w:bCs/>
          <w:color w:val="auto"/>
          <w:sz w:val="32"/>
          <w:szCs w:val="32"/>
          <w:highlight w:val="none"/>
          <w:u w:val="none"/>
          <w:lang w:val="zh-CN" w:eastAsia="zh-CN"/>
        </w:rPr>
        <w:t>区域均衡性。</w:t>
      </w:r>
      <w:r>
        <w:rPr>
          <w:rFonts w:hint="eastAsia" w:cs="Times New Roman"/>
          <w:color w:val="auto"/>
          <w:szCs w:val="32"/>
          <w:lang w:eastAsia="zh-CN"/>
        </w:rPr>
        <w:t>区域均衡情况得到改善、区域间差距缩小</w:t>
      </w:r>
    </w:p>
    <w:p w14:paraId="08A6DA2C">
      <w:pPr>
        <w:keepNext w:val="0"/>
        <w:keepLines w:val="0"/>
        <w:pageBreakBefore w:val="0"/>
        <w:widowControl w:val="0"/>
        <w:kinsoku/>
        <w:wordWrap/>
        <w:overflowPunct/>
        <w:topLinePunct w:val="0"/>
        <w:autoSpaceDE/>
        <w:autoSpaceDN/>
        <w:bidi w:val="0"/>
        <w:adjustRightInd/>
        <w:snapToGrid/>
        <w:spacing w:line="590" w:lineRule="exact"/>
        <w:ind w:left="320" w:leftChars="100" w:right="0" w:rightChars="0" w:firstLine="320" w:firstLineChars="100"/>
        <w:textAlignment w:val="auto"/>
        <w:outlineLvl w:val="9"/>
        <w:rPr>
          <w:rFonts w:hint="eastAsia" w:cs="Times New Roman"/>
          <w:color w:val="auto"/>
          <w:szCs w:val="32"/>
          <w:lang w:eastAsia="zh-CN"/>
        </w:rPr>
      </w:pPr>
      <w:r>
        <w:rPr>
          <w:rFonts w:hint="eastAsia" w:ascii="楷体_GB2312" w:hAnsi="宋体" w:eastAsia="楷体_GB2312" w:cs="Times New Roman"/>
          <w:b w:val="0"/>
          <w:bCs/>
          <w:color w:val="auto"/>
          <w:sz w:val="32"/>
          <w:szCs w:val="32"/>
          <w:highlight w:val="none"/>
          <w:u w:val="none"/>
          <w:lang w:val="en-US" w:eastAsia="zh-CN"/>
        </w:rPr>
        <w:t>2.</w:t>
      </w:r>
      <w:r>
        <w:rPr>
          <w:rFonts w:hint="eastAsia" w:ascii="楷体_GB2312" w:hAnsi="宋体" w:eastAsia="楷体_GB2312" w:cs="Times New Roman"/>
          <w:b w:val="0"/>
          <w:bCs/>
          <w:color w:val="auto"/>
          <w:sz w:val="32"/>
          <w:szCs w:val="32"/>
          <w:highlight w:val="none"/>
          <w:u w:val="none"/>
          <w:lang w:val="zh-CN" w:eastAsia="zh-CN"/>
        </w:rPr>
        <w:t>对象精准性。</w:t>
      </w:r>
      <w:r>
        <w:rPr>
          <w:rFonts w:hint="eastAsia" w:cs="Times New Roman"/>
          <w:color w:val="auto"/>
          <w:szCs w:val="32"/>
          <w:lang w:eastAsia="zh-CN"/>
        </w:rPr>
        <w:t>资金实际支持对象符合管理要求，符合支持对象范围。</w:t>
      </w:r>
    </w:p>
    <w:p w14:paraId="0F11C4F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val="0"/>
          <w:bCs/>
          <w:color w:val="auto"/>
          <w:sz w:val="32"/>
          <w:szCs w:val="32"/>
          <w:highlight w:val="none"/>
          <w:u w:val="none"/>
          <w:lang w:val="en-US" w:eastAsia="zh-CN"/>
        </w:rPr>
        <w:t>3.</w:t>
      </w:r>
      <w:r>
        <w:rPr>
          <w:rFonts w:hint="eastAsia" w:ascii="楷体_GB2312" w:hAnsi="宋体" w:eastAsia="楷体_GB2312" w:cs="Times New Roman"/>
          <w:b w:val="0"/>
          <w:bCs/>
          <w:color w:val="auto"/>
          <w:sz w:val="32"/>
          <w:szCs w:val="32"/>
          <w:highlight w:val="none"/>
          <w:u w:val="none"/>
          <w:lang w:val="zh-CN" w:eastAsia="zh-CN"/>
        </w:rPr>
        <w:t>标准合理性。</w:t>
      </w:r>
      <w:r>
        <w:rPr>
          <w:rFonts w:hint="eastAsia" w:cs="Times New Roman"/>
          <w:color w:val="auto"/>
          <w:szCs w:val="32"/>
          <w:lang w:eastAsia="zh-CN"/>
        </w:rPr>
        <w:t>资金实际</w:t>
      </w:r>
      <w:r>
        <w:rPr>
          <w:rFonts w:hint="eastAsia" w:cs="Times New Roman"/>
          <w:color w:val="auto"/>
          <w:szCs w:val="32"/>
          <w:lang w:val="en-US" w:eastAsia="zh-CN"/>
        </w:rPr>
        <w:t>补助</w:t>
      </w:r>
      <w:r>
        <w:rPr>
          <w:rFonts w:hint="eastAsia" w:cs="Times New Roman"/>
          <w:color w:val="auto"/>
          <w:szCs w:val="32"/>
          <w:lang w:eastAsia="zh-CN"/>
        </w:rPr>
        <w:t>标准符合资金管理办法规定的补助标准，及时按标准</w:t>
      </w:r>
      <w:r>
        <w:rPr>
          <w:rFonts w:hint="eastAsia" w:cs="Times New Roman"/>
          <w:color w:val="auto"/>
          <w:szCs w:val="32"/>
          <w:lang w:val="en-US" w:eastAsia="zh-CN"/>
        </w:rPr>
        <w:t>兑现。</w:t>
      </w:r>
    </w:p>
    <w:p w14:paraId="01C3CE8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val="0"/>
          <w:bCs/>
          <w:color w:val="auto"/>
          <w:sz w:val="32"/>
          <w:szCs w:val="32"/>
          <w:highlight w:val="none"/>
          <w:u w:val="none"/>
          <w:lang w:val="en-US" w:eastAsia="zh-CN"/>
        </w:rPr>
        <w:t>4.群众</w:t>
      </w:r>
      <w:r>
        <w:rPr>
          <w:rFonts w:hint="eastAsia" w:ascii="楷体_GB2312" w:hAnsi="宋体" w:eastAsia="楷体_GB2312" w:cs="Times New Roman"/>
          <w:b w:val="0"/>
          <w:bCs/>
          <w:color w:val="auto"/>
          <w:sz w:val="32"/>
          <w:szCs w:val="32"/>
          <w:highlight w:val="none"/>
          <w:u w:val="none"/>
          <w:lang w:val="zh-CN" w:eastAsia="zh-CN"/>
        </w:rPr>
        <w:t>满意度。</w:t>
      </w:r>
      <w:r>
        <w:rPr>
          <w:rFonts w:hint="eastAsia" w:ascii="Times New Roman" w:hAnsi="Times New Roman" w:cs="Times New Roman"/>
          <w:color w:val="auto"/>
          <w:szCs w:val="32"/>
          <w:lang w:val="zh-CN" w:eastAsia="zh-CN"/>
        </w:rPr>
        <w:t>未进行</w:t>
      </w:r>
      <w:r>
        <w:rPr>
          <w:rFonts w:hint="eastAsia" w:ascii="Times New Roman" w:hAnsi="Times New Roman" w:cs="Times New Roman"/>
          <w:color w:val="auto"/>
          <w:szCs w:val="32"/>
          <w:lang w:eastAsia="zh-CN"/>
        </w:rPr>
        <w:t>资金涉及相关受益群体、支持对象的</w:t>
      </w:r>
      <w:r>
        <w:rPr>
          <w:rFonts w:hint="eastAsia" w:ascii="Times New Roman" w:hAnsi="Times New Roman" w:cs="Times New Roman"/>
          <w:color w:val="auto"/>
          <w:szCs w:val="32"/>
          <w:lang w:val="zh-CN" w:eastAsia="zh-CN"/>
        </w:rPr>
        <w:t>满意度调查</w:t>
      </w:r>
      <w:r>
        <w:rPr>
          <w:rFonts w:hint="eastAsia" w:ascii="Times New Roman" w:hAnsi="Times New Roman" w:cs="Times New Roman"/>
          <w:color w:val="auto"/>
          <w:szCs w:val="32"/>
          <w:lang w:eastAsia="zh-CN"/>
        </w:rPr>
        <w:t>。</w:t>
      </w:r>
    </w:p>
    <w:p w14:paraId="0975BFF8">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Cs w:val="32"/>
          <w:highlight w:val="none"/>
          <w:shd w:val="clear" w:color="auto" w:fill="FFFFFF"/>
          <w:lang w:val="zh-CN"/>
        </w:rPr>
        <w:t>绩效分析。</w:t>
      </w:r>
    </w:p>
    <w:p w14:paraId="785693BB">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cs="Times New Roman"/>
          <w:color w:val="auto"/>
          <w:szCs w:val="32"/>
          <w:lang w:val="en-US" w:eastAsia="zh-CN"/>
        </w:rPr>
      </w:pPr>
      <w:r>
        <w:rPr>
          <w:rFonts w:hint="eastAsia" w:ascii="楷体_GB2312" w:hAnsi="楷体_GB2312" w:eastAsia="楷体_GB2312" w:cs="楷体_GB2312"/>
          <w:color w:val="auto"/>
          <w:szCs w:val="32"/>
          <w:lang w:val="en-US" w:eastAsia="zh-CN"/>
        </w:rPr>
        <w:t>1.开展中医药监督执法技能竞赛。</w:t>
      </w:r>
      <w:r>
        <w:rPr>
          <w:rFonts w:hint="eastAsia" w:ascii="Times New Roman" w:hAnsi="Times New Roman" w:cs="Times New Roman"/>
          <w:color w:val="auto"/>
          <w:szCs w:val="32"/>
          <w:lang w:val="en-US" w:eastAsia="zh-CN"/>
        </w:rPr>
        <w:t>2024年未开展中医药监督执法技能竞赛。</w:t>
      </w:r>
    </w:p>
    <w:p w14:paraId="36D1F02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Times New Roman" w:hAnsi="Times New Roman" w:cs="Times New Roman"/>
          <w:color w:val="auto"/>
          <w:szCs w:val="32"/>
          <w:lang w:val="en-US" w:eastAsia="zh-CN"/>
        </w:rPr>
      </w:pPr>
      <w:r>
        <w:rPr>
          <w:rFonts w:hint="eastAsia" w:ascii="楷体_GB2312" w:hAnsi="楷体_GB2312" w:eastAsia="楷体_GB2312" w:cs="楷体_GB2312"/>
          <w:color w:val="auto"/>
          <w:szCs w:val="32"/>
          <w:lang w:val="en-US" w:eastAsia="zh-CN"/>
        </w:rPr>
        <w:t>2.中医药执法监督能力培训人员。</w:t>
      </w:r>
      <w:r>
        <w:rPr>
          <w:rFonts w:hint="eastAsia" w:ascii="Times New Roman" w:hAnsi="Times New Roman" w:cs="Times New Roman"/>
          <w:color w:val="auto"/>
          <w:szCs w:val="32"/>
          <w:lang w:val="en-US" w:eastAsia="zh-CN"/>
        </w:rPr>
        <w:t>本次培训班培训86人，超过预期培训人数。</w:t>
      </w:r>
    </w:p>
    <w:p w14:paraId="3659D92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default"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3.提升执法人员中医药监督执法能力。</w:t>
      </w:r>
      <w:r>
        <w:rPr>
          <w:rFonts w:hint="eastAsia" w:ascii="Times New Roman" w:hAnsi="Times New Roman" w:cs="Times New Roman"/>
          <w:color w:val="auto"/>
          <w:szCs w:val="32"/>
          <w:lang w:val="en-US" w:eastAsia="zh-CN"/>
        </w:rPr>
        <w:t>培训班结束时组织理论考试，60分及格，本次考试人员全部及格。</w:t>
      </w:r>
    </w:p>
    <w:p w14:paraId="3DC99D5D">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344864BF">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项目用途合规、程序合规、标准合规，有效保证政策跟踪、重点国有企业、资环审计等工作完成。</w:t>
      </w:r>
    </w:p>
    <w:p w14:paraId="6E7B989A">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04C2FE4D">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一是本年度未开展中医药监督执法技能竞赛，没有挖掘出优秀人才。二是未开展群众</w:t>
      </w:r>
      <w:r>
        <w:rPr>
          <w:rFonts w:hint="eastAsia" w:ascii="仿宋_GB2312" w:hAnsi="仿宋_GB2312" w:eastAsia="仿宋_GB2312" w:cs="仿宋_GB2312"/>
          <w:b w:val="0"/>
          <w:bCs w:val="0"/>
          <w:kern w:val="0"/>
          <w:position w:val="0"/>
          <w:sz w:val="32"/>
          <w:szCs w:val="32"/>
          <w:highlight w:val="none"/>
          <w:lang w:val="zh-CN" w:eastAsia="zh-CN" w:bidi="ar-SA"/>
        </w:rPr>
        <w:t>满意度，不能对下一步改进提供意见</w:t>
      </w:r>
      <w:r>
        <w:rPr>
          <w:rFonts w:hint="eastAsia" w:ascii="仿宋_GB2312" w:hAnsi="仿宋_GB2312" w:eastAsia="仿宋_GB2312" w:cs="仿宋_GB2312"/>
          <w:b w:val="0"/>
          <w:bCs w:val="0"/>
          <w:kern w:val="0"/>
          <w:position w:val="0"/>
          <w:sz w:val="32"/>
          <w:szCs w:val="32"/>
          <w:highlight w:val="none"/>
          <w:lang w:val="en-US" w:eastAsia="zh-CN" w:bidi="ar-SA"/>
        </w:rPr>
        <w:t>。</w:t>
      </w:r>
    </w:p>
    <w:p w14:paraId="32B00B8A">
      <w:pPr>
        <w:pStyle w:val="3"/>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146AC98A">
      <w:pPr>
        <w:keepNext w:val="0"/>
        <w:keepLines w:val="0"/>
        <w:pageBreakBefore w:val="0"/>
        <w:tabs>
          <w:tab w:val="left" w:pos="1911"/>
        </w:tabs>
        <w:kinsoku/>
        <w:wordWrap/>
        <w:overflowPunct/>
        <w:topLinePunct w:val="0"/>
        <w:autoSpaceDE/>
        <w:autoSpaceDN/>
        <w:bidi w:val="0"/>
        <w:adjustRightInd/>
        <w:snapToGrid/>
        <w:spacing w:line="590" w:lineRule="exact"/>
        <w:ind w:right="0" w:rightChars="0"/>
        <w:jc w:val="left"/>
        <w:textAlignment w:val="auto"/>
        <w:rPr>
          <w:rFonts w:hint="default" w:ascii="仿宋_GB2312" w:hAnsi="仿宋_GB2312" w:eastAsia="仿宋_GB2312" w:cs="仿宋_GB2312"/>
          <w:b w:val="0"/>
          <w:bCs w:val="0"/>
          <w:kern w:val="0"/>
          <w:position w:val="0"/>
          <w:sz w:val="30"/>
          <w:szCs w:val="30"/>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color w:val="auto"/>
          <w:kern w:val="0"/>
          <w:sz w:val="32"/>
          <w:szCs w:val="32"/>
          <w:highlight w:val="none"/>
          <w:u w:val="none"/>
          <w:shd w:val="clear" w:color="auto" w:fill="FFFFFF"/>
          <w:lang w:val="en-US" w:eastAsia="zh-CN"/>
        </w:rPr>
        <w:t xml:space="preserve">   </w:t>
      </w:r>
      <w:r>
        <w:rPr>
          <w:rFonts w:hint="eastAsia" w:ascii="仿宋_GB2312" w:hAnsi="仿宋_GB2312" w:cs="仿宋_GB2312"/>
          <w:b w:val="0"/>
          <w:bCs w:val="0"/>
          <w:kern w:val="0"/>
          <w:position w:val="0"/>
          <w:sz w:val="32"/>
          <w:szCs w:val="32"/>
          <w:highlight w:val="none"/>
          <w:lang w:val="en-US" w:eastAsia="zh-CN" w:bidi="ar-SA"/>
        </w:rPr>
        <w:t>应</w:t>
      </w:r>
      <w:bookmarkStart w:id="0" w:name="_Hlk110546638"/>
      <w:r>
        <w:rPr>
          <w:rFonts w:hint="eastAsia" w:ascii="仿宋_GB2312" w:hAnsi="仿宋_GB2312" w:cs="仿宋_GB2312"/>
          <w:b w:val="0"/>
          <w:bCs w:val="0"/>
          <w:kern w:val="0"/>
          <w:position w:val="0"/>
          <w:sz w:val="32"/>
          <w:szCs w:val="32"/>
          <w:highlight w:val="none"/>
          <w:lang w:val="en-US" w:eastAsia="zh-CN" w:bidi="ar-SA"/>
        </w:rPr>
        <w:t>开展群众满意度调查，收集群众意见进一步提升培训效果。</w:t>
      </w:r>
    </w:p>
    <w:bookmarkEnd w:id="0"/>
    <w:p w14:paraId="59D503E8">
      <w:pPr>
        <w:keepNext w:val="0"/>
        <w:keepLines w:val="0"/>
        <w:pageBreakBefore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附表：1.</w:t>
      </w:r>
      <w:r>
        <w:rPr>
          <w:rFonts w:hint="eastAsia" w:cs="Times New Roman"/>
          <w:color w:val="000000"/>
          <w:kern w:val="0"/>
          <w:szCs w:val="32"/>
          <w:highlight w:val="none"/>
          <w:shd w:val="clear" w:color="auto" w:fill="FFFFFF"/>
          <w:lang w:val="en-US" w:eastAsia="zh-CN"/>
        </w:rPr>
        <w:t xml:space="preserve"> </w:t>
      </w:r>
      <w:r>
        <w:rPr>
          <w:rFonts w:hint="eastAsia" w:ascii="Times New Roman" w:hAnsi="Times New Roman" w:cs="Times New Roman"/>
          <w:color w:val="000000"/>
          <w:kern w:val="0"/>
          <w:szCs w:val="32"/>
          <w:highlight w:val="none"/>
          <w:shd w:val="clear" w:color="auto" w:fill="FFFFFF"/>
          <w:lang w:val="en-US" w:eastAsia="zh-CN"/>
        </w:rPr>
        <w:t>项目资金分配涉及所有点位自评得分情况表</w:t>
      </w:r>
    </w:p>
    <w:p w14:paraId="3667E4C2">
      <w:pPr>
        <w:keepNext w:val="0"/>
        <w:keepLines w:val="0"/>
        <w:pageBreakBefore w:val="0"/>
        <w:kinsoku/>
        <w:wordWrap/>
        <w:overflowPunct/>
        <w:topLinePunct w:val="0"/>
        <w:autoSpaceDE/>
        <w:autoSpaceDN/>
        <w:bidi w:val="0"/>
        <w:adjustRightInd/>
        <w:snapToGrid/>
        <w:spacing w:line="590" w:lineRule="exact"/>
        <w:ind w:left="0" w:leftChars="0" w:right="0" w:rightChars="0" w:firstLine="1600" w:firstLineChars="500"/>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eastAsia" w:ascii="Times New Roman" w:hAnsi="Times New Roman" w:cs="Times New Roman"/>
          <w:color w:val="000000"/>
          <w:kern w:val="0"/>
          <w:szCs w:val="32"/>
          <w:highlight w:val="none"/>
          <w:shd w:val="clear" w:color="auto" w:fill="FFFFFF"/>
          <w:lang w:val="en-US" w:eastAsia="zh-CN"/>
        </w:rPr>
        <w:t>2.</w:t>
      </w:r>
      <w:r>
        <w:rPr>
          <w:rFonts w:hint="eastAsia" w:cs="Times New Roman"/>
          <w:color w:val="000000"/>
          <w:kern w:val="0"/>
          <w:szCs w:val="32"/>
          <w:highlight w:val="none"/>
          <w:shd w:val="clear" w:color="auto" w:fill="FFFFFF"/>
          <w:lang w:val="en-US" w:eastAsia="zh-CN"/>
        </w:rPr>
        <w:t xml:space="preserve"> </w:t>
      </w:r>
      <w:r>
        <w:rPr>
          <w:rFonts w:hint="eastAsia" w:ascii="Times New Roman" w:hAnsi="Times New Roman" w:cs="Times New Roman"/>
          <w:color w:val="000000"/>
          <w:kern w:val="0"/>
          <w:szCs w:val="32"/>
          <w:highlight w:val="none"/>
          <w:shd w:val="clear" w:color="auto" w:fill="FFFFFF"/>
          <w:lang w:val="en-US" w:eastAsia="zh-CN"/>
        </w:rPr>
        <w:t>专项</w:t>
      </w:r>
      <w:r>
        <w:rPr>
          <w:rFonts w:hint="eastAsia" w:cs="Times New Roman"/>
          <w:color w:val="000000"/>
          <w:kern w:val="0"/>
          <w:szCs w:val="32"/>
          <w:highlight w:val="none"/>
          <w:shd w:val="clear" w:color="auto" w:fill="FFFFFF"/>
          <w:lang w:val="en-US" w:eastAsia="zh-CN"/>
        </w:rPr>
        <w:t>资金</w:t>
      </w:r>
      <w:r>
        <w:rPr>
          <w:rFonts w:hint="eastAsia" w:ascii="Times New Roman" w:hAnsi="Times New Roman" w:cs="Times New Roman"/>
          <w:color w:val="000000"/>
          <w:kern w:val="0"/>
          <w:szCs w:val="32"/>
          <w:highlight w:val="none"/>
          <w:shd w:val="clear" w:color="auto" w:fill="FFFFFF"/>
          <w:lang w:val="en-US" w:eastAsia="zh-CN"/>
        </w:rPr>
        <w:t>绩效目标完成情况自评表</w:t>
      </w:r>
    </w:p>
    <w:p w14:paraId="1AD4D2F5">
      <w:pPr>
        <w:keepNext w:val="0"/>
        <w:keepLines w:val="0"/>
        <w:pageBreakBefore w:val="0"/>
        <w:kinsoku/>
        <w:wordWrap/>
        <w:overflowPunct/>
        <w:topLinePunct w:val="0"/>
        <w:autoSpaceDE/>
        <w:autoSpaceDN/>
        <w:bidi w:val="0"/>
        <w:adjustRightInd/>
        <w:snapToGrid/>
        <w:spacing w:line="590" w:lineRule="exact"/>
        <w:ind w:right="0" w:rightChars="0"/>
        <w:textAlignment w:val="auto"/>
        <w:outlineLvl w:val="9"/>
        <w:rPr>
          <w:rFonts w:hint="eastAsia" w:cs="Times New Roman"/>
          <w:color w:val="000000"/>
          <w:kern w:val="0"/>
          <w:szCs w:val="32"/>
          <w:highlight w:val="none"/>
          <w:shd w:val="clear" w:color="auto" w:fill="FFFFFF"/>
          <w:lang w:val="en-US" w:eastAsia="zh-CN"/>
        </w:rPr>
      </w:pPr>
    </w:p>
    <w:p w14:paraId="548FAB0B">
      <w:pPr>
        <w:pStyle w:val="2"/>
        <w:rPr>
          <w:rFonts w:hint="eastAsia" w:cs="Times New Roman"/>
          <w:color w:val="000000"/>
          <w:kern w:val="0"/>
          <w:szCs w:val="32"/>
          <w:highlight w:val="none"/>
          <w:shd w:val="clear" w:color="auto" w:fill="FFFFFF"/>
          <w:lang w:val="en-US" w:eastAsia="zh-CN"/>
        </w:rPr>
      </w:pPr>
    </w:p>
    <w:p w14:paraId="1B8B244A">
      <w:pPr>
        <w:rPr>
          <w:rFonts w:hint="eastAsia"/>
          <w:lang w:val="en-US" w:eastAsia="zh-CN"/>
        </w:rPr>
      </w:pPr>
    </w:p>
    <w:p w14:paraId="04E5BD74">
      <w:pPr>
        <w:keepNext w:val="0"/>
        <w:keepLines w:val="0"/>
        <w:pageBreakBefore w:val="0"/>
        <w:kinsoku/>
        <w:wordWrap/>
        <w:overflowPunct/>
        <w:topLinePunct w:val="0"/>
        <w:autoSpaceDE/>
        <w:autoSpaceDN/>
        <w:bidi w:val="0"/>
        <w:adjustRightInd/>
        <w:snapToGrid/>
        <w:spacing w:line="590" w:lineRule="exact"/>
        <w:ind w:right="0" w:rightChars="0" w:firstLine="3520" w:firstLineChars="1100"/>
        <w:textAlignment w:val="auto"/>
        <w:outlineLvl w:val="9"/>
        <w:rPr>
          <w:rFonts w:hint="eastAsia" w:cs="Times New Roman"/>
          <w:color w:val="000000"/>
          <w:kern w:val="0"/>
          <w:szCs w:val="32"/>
          <w:highlight w:val="none"/>
          <w:shd w:val="clear" w:color="auto" w:fill="FFFFFF"/>
          <w:lang w:val="en-US" w:eastAsia="zh-CN"/>
        </w:rPr>
      </w:pPr>
      <w:r>
        <w:rPr>
          <w:rFonts w:hint="eastAsia" w:cs="Times New Roman"/>
          <w:color w:val="000000"/>
          <w:kern w:val="0"/>
          <w:szCs w:val="32"/>
          <w:highlight w:val="none"/>
          <w:shd w:val="clear" w:color="auto" w:fill="FFFFFF"/>
          <w:lang w:val="en-US" w:eastAsia="zh-CN"/>
        </w:rPr>
        <w:t>遂宁市卫生健康综合行政执法支队</w:t>
      </w:r>
    </w:p>
    <w:p w14:paraId="4D5A5444">
      <w:pPr>
        <w:keepNext w:val="0"/>
        <w:keepLines w:val="0"/>
        <w:pageBreakBefore w:val="0"/>
        <w:kinsoku/>
        <w:wordWrap/>
        <w:overflowPunct/>
        <w:topLinePunct w:val="0"/>
        <w:autoSpaceDE/>
        <w:autoSpaceDN/>
        <w:bidi w:val="0"/>
        <w:adjustRightInd/>
        <w:snapToGrid/>
        <w:spacing w:line="590" w:lineRule="exact"/>
        <w:ind w:right="0" w:rightChars="0" w:firstLine="4800" w:firstLineChars="1500"/>
        <w:textAlignment w:val="auto"/>
        <w:outlineLvl w:val="9"/>
        <w:rPr>
          <w:rFonts w:hint="default" w:ascii="Times New Roman" w:hAnsi="Times New Roman" w:eastAsia="仿宋_GB2312" w:cs="Times New Roman"/>
          <w:b w:val="0"/>
          <w:color w:val="000000"/>
          <w:kern w:val="0"/>
          <w:sz w:val="32"/>
          <w:szCs w:val="32"/>
          <w:highlight w:val="none"/>
          <w:shd w:val="clear" w:color="auto" w:fill="FFFFFF"/>
          <w:lang w:val="en-US" w:eastAsia="zh-CN" w:bidi="ar-SA"/>
        </w:rPr>
      </w:pPr>
      <w:r>
        <w:rPr>
          <w:rFonts w:hint="eastAsia" w:ascii="Times New Roman" w:hAnsi="Times New Roman" w:eastAsia="仿宋_GB2312" w:cs="Times New Roman"/>
          <w:b w:val="0"/>
          <w:color w:val="000000"/>
          <w:kern w:val="0"/>
          <w:sz w:val="32"/>
          <w:szCs w:val="32"/>
          <w:highlight w:val="none"/>
          <w:shd w:val="clear" w:color="auto" w:fill="FFFFFF"/>
          <w:lang w:val="en-US" w:eastAsia="zh-CN" w:bidi="ar-SA"/>
        </w:rPr>
        <w:t>2025年5月21日</w:t>
      </w:r>
    </w:p>
    <w:p w14:paraId="2D6BFE90">
      <w:pPr>
        <w:rPr>
          <w:rFonts w:hint="default"/>
          <w:lang w:val="en-US" w:eastAsia="zh-CN"/>
        </w:rPr>
      </w:pPr>
    </w:p>
    <w:p w14:paraId="2BD66CE0">
      <w:pPr>
        <w:pStyle w:val="2"/>
        <w:rPr>
          <w:rFonts w:hint="default"/>
          <w:lang w:val="en-US" w:eastAsia="zh-CN"/>
        </w:rPr>
      </w:pPr>
    </w:p>
    <w:p w14:paraId="654679F9">
      <w:pPr>
        <w:rPr>
          <w:rFonts w:hint="default"/>
          <w:lang w:val="en-US" w:eastAsia="zh-CN"/>
        </w:rPr>
      </w:pPr>
    </w:p>
    <w:p w14:paraId="3BC6607E">
      <w:pPr>
        <w:pStyle w:val="2"/>
        <w:rPr>
          <w:rFonts w:hint="default"/>
          <w:lang w:val="en-US" w:eastAsia="zh-CN"/>
        </w:rPr>
      </w:pPr>
    </w:p>
    <w:p w14:paraId="64DAFCDF">
      <w:pPr>
        <w:rPr>
          <w:rFonts w:hint="default"/>
          <w:lang w:val="en-US" w:eastAsia="zh-CN"/>
        </w:rPr>
      </w:pPr>
    </w:p>
    <w:p w14:paraId="5C0EFF4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14:paraId="106501B6">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方正小标宋_GBK" w:hAns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1040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4C323B7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vAlign w:val="top"/>
          </w:tcPr>
          <w:p w14:paraId="63A89508">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vAlign w:val="top"/>
          </w:tcPr>
          <w:p w14:paraId="1143727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vAlign w:val="top"/>
          </w:tcPr>
          <w:p w14:paraId="6508BAF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14:paraId="76DA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vAlign w:val="top"/>
          </w:tcPr>
          <w:p w14:paraId="3FED499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vAlign w:val="top"/>
          </w:tcPr>
          <w:p w14:paraId="1012A0C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遂宁市卫生健康综合行政执法支队</w:t>
            </w:r>
          </w:p>
        </w:tc>
        <w:tc>
          <w:tcPr>
            <w:tcW w:w="2861" w:type="dxa"/>
            <w:vAlign w:val="top"/>
          </w:tcPr>
          <w:p w14:paraId="7C4406A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92</w:t>
            </w:r>
          </w:p>
        </w:tc>
        <w:tc>
          <w:tcPr>
            <w:tcW w:w="993" w:type="dxa"/>
            <w:vAlign w:val="top"/>
          </w:tcPr>
          <w:p w14:paraId="458CEF5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cs="宋体"/>
                <w:color w:val="auto"/>
                <w:sz w:val="24"/>
                <w:szCs w:val="24"/>
                <w:highlight w:val="none"/>
                <w:u w:val="none"/>
                <w:vertAlign w:val="baseline"/>
                <w:lang w:val="en-US" w:eastAsia="zh-CN"/>
              </w:rPr>
            </w:pPr>
          </w:p>
        </w:tc>
      </w:tr>
    </w:tbl>
    <w:p w14:paraId="47CEC85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备注：1.项目资金末端分配点位包括县（市、区）、市级部门下属单位及一次性单位等。</w:t>
      </w:r>
    </w:p>
    <w:p w14:paraId="6951E6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30" w:firstLineChars="30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52A40D21">
      <w:pPr>
        <w:rPr>
          <w:rFonts w:hint="eastAsia" w:ascii="Times New Roman" w:hAnsi="Times New Roman" w:eastAsia="仿宋_GB2312"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p>
    <w:p w14:paraId="02359F27">
      <w:pPr>
        <w:pStyle w:val="8"/>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附表2</w:t>
      </w:r>
    </w:p>
    <w:tbl>
      <w:tblPr>
        <w:tblStyle w:val="9"/>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52"/>
        <w:gridCol w:w="1081"/>
        <w:gridCol w:w="1250"/>
        <w:gridCol w:w="1429"/>
        <w:gridCol w:w="1010"/>
        <w:gridCol w:w="971"/>
        <w:gridCol w:w="1061"/>
        <w:gridCol w:w="1263"/>
        <w:gridCol w:w="1516"/>
      </w:tblGrid>
      <w:tr w14:paraId="2BF2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14:paraId="5565579C">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专项资金绩效目标完成情况自评表</w:t>
            </w:r>
          </w:p>
        </w:tc>
      </w:tr>
      <w:tr w14:paraId="65EB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8" w:hRule="atLeast"/>
          <w:jc w:val="center"/>
        </w:trPr>
        <w:tc>
          <w:tcPr>
            <w:tcW w:w="44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4D35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项目名称</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6C2BF">
            <w:pPr>
              <w:pStyle w:val="12"/>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ascii="宋体" w:hAnsi="宋体" w:eastAsia="宋体" w:cs="宋体"/>
                <w:i w:val="0"/>
                <w:color w:val="000000"/>
                <w:sz w:val="21"/>
                <w:szCs w:val="21"/>
                <w:u w:val="none"/>
              </w:rPr>
            </w:pPr>
            <w:r>
              <w:rPr>
                <w:rFonts w:hint="default" w:ascii="宋体" w:hAnsi="宋体" w:eastAsia="宋体" w:cs="宋体"/>
                <w:i w:val="0"/>
                <w:color w:val="000000"/>
                <w:kern w:val="2"/>
                <w:sz w:val="21"/>
                <w:szCs w:val="21"/>
                <w:u w:val="none"/>
                <w:lang w:val="en-US" w:eastAsia="zh-CN" w:bidi="ar-SA"/>
              </w:rPr>
              <w:t>2024年中医药传承创新市级补助资金</w:t>
            </w:r>
          </w:p>
        </w:tc>
      </w:tr>
      <w:tr w14:paraId="18C6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4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4A4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预算单位</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1508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遂宁市卫生健康综合行政执法支队</w:t>
            </w:r>
          </w:p>
        </w:tc>
      </w:tr>
      <w:tr w14:paraId="25E5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4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9A3A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项目类型</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7668E0">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民生保障类</w:t>
            </w:r>
          </w:p>
        </w:tc>
      </w:tr>
      <w:tr w14:paraId="1A35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E46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 概况</w:t>
            </w: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1FD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中长期规划（名称、文号，仅指</w:t>
            </w:r>
          </w:p>
          <w:p w14:paraId="6AC152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常年项目）</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985AD">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遂宁市市委、市政府关于印发《遂宁市促进中医药传承创新发展的实施方案》（遂委发〔2020〕15号）</w:t>
            </w:r>
          </w:p>
        </w:tc>
      </w:tr>
      <w:tr w14:paraId="3BED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1CC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10A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资金管理办法（名称、文号）</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5679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遂宁市卫生健康委员会关于印发《2024年市级财政中医药专项资金实施方案》的通知（遂卫发〔2024〕90号）</w:t>
            </w:r>
          </w:p>
        </w:tc>
      </w:tr>
      <w:tr w14:paraId="24E54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1DE5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A51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绩效分配方式</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AC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t>£</w:t>
            </w:r>
            <w:r>
              <w:rPr>
                <w:rFonts w:ascii="宋体" w:hAnsi="宋体" w:eastAsia="宋体" w:cs="宋体"/>
                <w:i w:val="0"/>
                <w:color w:val="000000"/>
                <w:kern w:val="0"/>
                <w:sz w:val="21"/>
                <w:szCs w:val="21"/>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AE4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sym w:font="Wingdings 2" w:char="0052"/>
            </w:r>
            <w:r>
              <w:rPr>
                <w:rFonts w:hint="default" w:ascii="Wingdings 2" w:hAnsi="Wingdings 2" w:eastAsia="Wingdings 2" w:cs="Wingdings 2"/>
                <w:i w:val="0"/>
                <w:color w:val="000000"/>
                <w:kern w:val="0"/>
                <w:sz w:val="21"/>
                <w:szCs w:val="21"/>
                <w:u w:val="none"/>
                <w:lang w:val="en-US" w:eastAsia="zh-CN" w:bidi="ar"/>
              </w:rPr>
              <w:t>项目法</w:t>
            </w:r>
            <w:bookmarkStart w:id="1" w:name="_GoBack"/>
            <w:bookmarkEnd w:id="1"/>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BC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t>£</w:t>
            </w:r>
            <w:r>
              <w:rPr>
                <w:rFonts w:ascii="宋体" w:hAnsi="宋体" w:eastAsia="宋体" w:cs="宋体"/>
                <w:i w:val="0"/>
                <w:color w:val="000000"/>
                <w:kern w:val="0"/>
                <w:sz w:val="21"/>
                <w:szCs w:val="21"/>
                <w:u w:val="none"/>
                <w:lang w:val="en-US" w:eastAsia="zh-CN" w:bidi="ar"/>
              </w:rPr>
              <w:t>据实据效</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F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1"/>
                <w:szCs w:val="21"/>
                <w:u w:val="none"/>
              </w:rPr>
            </w:pPr>
            <w:r>
              <w:rPr>
                <w:rFonts w:hint="default" w:ascii="Wingdings 2" w:hAnsi="Wingdings 2" w:eastAsia="Wingdings 2" w:cs="Wingdings 2"/>
                <w:i w:val="0"/>
                <w:color w:val="000000"/>
                <w:kern w:val="0"/>
                <w:sz w:val="21"/>
                <w:szCs w:val="21"/>
                <w:u w:val="none"/>
                <w:lang w:val="en-US" w:eastAsia="zh-CN" w:bidi="ar"/>
              </w:rPr>
              <w:t>£</w:t>
            </w:r>
            <w:r>
              <w:rPr>
                <w:rFonts w:ascii="宋体" w:hAnsi="宋体" w:eastAsia="宋体" w:cs="宋体"/>
                <w:i w:val="0"/>
                <w:color w:val="000000"/>
                <w:kern w:val="0"/>
                <w:sz w:val="21"/>
                <w:szCs w:val="21"/>
                <w:u w:val="none"/>
                <w:lang w:val="en-US" w:eastAsia="zh-CN" w:bidi="ar"/>
              </w:rPr>
              <w:t>因素法与项目法相结合</w:t>
            </w:r>
          </w:p>
        </w:tc>
      </w:tr>
      <w:tr w14:paraId="4955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471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FDA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立项依据</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D37E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遂宁市市委、市政府关于印发《遂宁市促进中医药传承创新发展的实施方案》（遂委发〔2020〕15号）</w:t>
            </w:r>
          </w:p>
        </w:tc>
      </w:tr>
      <w:tr w14:paraId="7690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6032">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C9D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使用范围</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FB36A">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举办</w:t>
            </w:r>
            <w:r>
              <w:rPr>
                <w:rFonts w:hint="eastAsia" w:ascii="宋体" w:hAnsi="宋体" w:eastAsia="宋体" w:cs="宋体"/>
                <w:i w:val="0"/>
                <w:color w:val="000000"/>
                <w:sz w:val="21"/>
                <w:szCs w:val="21"/>
                <w:u w:val="none"/>
              </w:rPr>
              <w:t>中医药执法能力监督培训暨技能竞赛</w:t>
            </w:r>
            <w:r>
              <w:rPr>
                <w:rFonts w:hint="eastAsia" w:ascii="宋体" w:hAnsi="宋体" w:eastAsia="宋体" w:cs="宋体"/>
                <w:i w:val="0"/>
                <w:color w:val="000000"/>
                <w:sz w:val="21"/>
                <w:szCs w:val="21"/>
                <w:u w:val="none"/>
                <w:lang w:eastAsia="zh-CN"/>
              </w:rPr>
              <w:t>场地、资料、餐费等支出</w:t>
            </w:r>
          </w:p>
        </w:tc>
      </w:tr>
      <w:tr w14:paraId="44F9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11C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0AE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申报（补助）条件</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314D8">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p>
        </w:tc>
      </w:tr>
      <w:tr w14:paraId="7518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C353">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3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DB8D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项目起止年限</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524E1">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2024年</w:t>
            </w:r>
          </w:p>
        </w:tc>
      </w:tr>
      <w:tr w14:paraId="26F7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B4A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ascii="宋体" w:hAnsi="宋体" w:eastAsia="宋体" w:cs="宋体"/>
                <w:i w:val="0"/>
                <w:color w:val="000000"/>
                <w:kern w:val="0"/>
                <w:sz w:val="21"/>
                <w:szCs w:val="21"/>
                <w:u w:val="none"/>
                <w:lang w:val="en-US" w:eastAsia="zh-CN" w:bidi="ar"/>
              </w:rPr>
              <w:t>项目资金</w:t>
            </w:r>
          </w:p>
          <w:p w14:paraId="731A25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（万元）</w:t>
            </w: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832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年度资金总额：</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E51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10万元</w:t>
            </w:r>
          </w:p>
        </w:tc>
      </w:tr>
      <w:tr w14:paraId="3567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C108">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695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 </w:t>
            </w:r>
            <w:r>
              <w:rPr>
                <w:rFonts w:ascii="宋体" w:hAnsi="宋体" w:eastAsia="宋体" w:cs="宋体"/>
                <w:i w:val="0"/>
                <w:color w:val="000000"/>
                <w:kern w:val="0"/>
                <w:sz w:val="21"/>
                <w:szCs w:val="21"/>
                <w:u w:val="none"/>
                <w:lang w:val="en-US" w:eastAsia="zh-CN" w:bidi="ar"/>
              </w:rPr>
              <w:t>其中：财政拨款</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45B1C">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10万元</w:t>
            </w:r>
          </w:p>
        </w:tc>
      </w:tr>
      <w:tr w14:paraId="2F5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AAA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26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0E6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 xml:space="preserve">            其他资金</w:t>
            </w:r>
          </w:p>
        </w:tc>
        <w:tc>
          <w:tcPr>
            <w:tcW w:w="58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DBF5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0</w:t>
            </w:r>
          </w:p>
        </w:tc>
      </w:tr>
      <w:tr w14:paraId="1FCF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10E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A772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年度目标</w:t>
            </w:r>
          </w:p>
        </w:tc>
      </w:tr>
      <w:tr w14:paraId="75EE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700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rPr>
            </w:pPr>
          </w:p>
        </w:tc>
        <w:tc>
          <w:tcPr>
            <w:tcW w:w="9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E4DE0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全面提升执法人员中医药监督执法能力，进一步规范中医药服务和市场秩序。</w:t>
            </w:r>
          </w:p>
        </w:tc>
      </w:tr>
      <w:tr w14:paraId="349A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tcBorders>
            <w:shd w:val="clear" w:color="auto" w:fill="auto"/>
            <w:vAlign w:val="center"/>
          </w:tcPr>
          <w:p w14:paraId="3E89B3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3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ED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二级指标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86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三级指标</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DC6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E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A6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度量单位</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C6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权重</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D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实际完成指标值</w:t>
            </w:r>
          </w:p>
        </w:tc>
      </w:tr>
      <w:tr w14:paraId="5439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6B14609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1BC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14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6C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中医药执法监督能力培训人员</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DD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A2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52</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509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人</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181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42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86</w:t>
            </w:r>
          </w:p>
        </w:tc>
      </w:tr>
      <w:tr w14:paraId="048E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799469C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1B0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7B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质量指标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B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提升执法人员中医药监督执法能力</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CDDE">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DED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80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D0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89D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BAF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100</w:t>
            </w:r>
          </w:p>
        </w:tc>
      </w:tr>
      <w:tr w14:paraId="6451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77203D4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7FDD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F6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时效指标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99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竞赛及培训资金执行周期</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4B3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4CF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B1A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年</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3E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E04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2024年11月</w:t>
            </w:r>
          </w:p>
        </w:tc>
      </w:tr>
      <w:tr w14:paraId="38F5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7C5FF74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B6E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18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社会效益</w:t>
            </w:r>
          </w:p>
          <w:p w14:paraId="6452D2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72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提高中医药整体监管水平</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6F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B16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良好</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D0D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E04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DD3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良好</w:t>
            </w:r>
          </w:p>
        </w:tc>
      </w:tr>
      <w:tr w14:paraId="02D7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tcBorders>
            <w:shd w:val="clear" w:color="auto" w:fill="auto"/>
            <w:vAlign w:val="center"/>
          </w:tcPr>
          <w:p w14:paraId="010ACE8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7D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7B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服务对象满意度指标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C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执法人员对培训和竞赛的满意度</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AE7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F96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E67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15</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AC5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0CD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未开展</w:t>
            </w:r>
          </w:p>
        </w:tc>
      </w:tr>
      <w:tr w14:paraId="4668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left w:val="single" w:color="000000" w:sz="4" w:space="0"/>
              <w:bottom w:val="single" w:color="000000" w:sz="4" w:space="0"/>
            </w:tcBorders>
            <w:shd w:val="clear" w:color="auto" w:fill="auto"/>
            <w:vAlign w:val="center"/>
          </w:tcPr>
          <w:p w14:paraId="2945AD5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2C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6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成本指标</w:t>
            </w:r>
          </w:p>
        </w:tc>
        <w:tc>
          <w:tcPr>
            <w:tcW w:w="1429" w:type="dxa"/>
            <w:tcBorders>
              <w:top w:val="single" w:color="000000" w:sz="4" w:space="0"/>
              <w:left w:val="single" w:color="000000" w:sz="4" w:space="0"/>
              <w:right w:val="single" w:color="000000" w:sz="4" w:space="0"/>
            </w:tcBorders>
            <w:shd w:val="clear" w:color="auto" w:fill="auto"/>
            <w:vAlign w:val="center"/>
          </w:tcPr>
          <w:p w14:paraId="70D450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开展技能竞赛、执法能力培训涉及的办公经费、资料印刷费、场租费、授课费、差旅住宿费、餐费等</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CC1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2A5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10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6A42">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eastAsia="zh-CN"/>
              </w:rPr>
              <w:t>万元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79F4">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15</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D78">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10</w:t>
            </w:r>
          </w:p>
        </w:tc>
      </w:tr>
    </w:tbl>
    <w:p w14:paraId="64F816BC">
      <w:pPr>
        <w:pStyle w:val="8"/>
        <w:keepNext w:val="0"/>
        <w:keepLines w:val="0"/>
        <w:pageBreakBefore w:val="0"/>
        <w:kinsoku/>
        <w:wordWrap/>
        <w:overflowPunct/>
        <w:topLinePunct w:val="0"/>
        <w:autoSpaceDE/>
        <w:autoSpaceDN/>
        <w:bidi w:val="0"/>
        <w:spacing w:after="0" w:line="578" w:lineRule="exact"/>
        <w:ind w:left="0" w:leftChars="0" w:firstLine="0" w:firstLineChars="0"/>
        <w:rPr>
          <w:rFonts w:hint="default" w:ascii="黑体" w:hAnsi="黑体" w:eastAsia="黑体" w:cs="黑体"/>
          <w:sz w:val="24"/>
          <w:szCs w:val="24"/>
          <w:highlight w:val="none"/>
          <w:lang w:val="en-US" w:eastAsia="zh-CN"/>
        </w:rPr>
      </w:pPr>
    </w:p>
    <w:sectPr>
      <w:headerReference r:id="rId3" w:type="default"/>
      <w:footerReference r:id="rId4" w:type="default"/>
      <w:pgSz w:w="11906" w:h="16838"/>
      <w:pgMar w:top="1701" w:right="1587" w:bottom="1701" w:left="1587" w:header="851" w:footer="1417" w:gutter="0"/>
      <w:pgNumType w:fmt="decimal" w:start="1"/>
      <w:cols w:space="0" w:num="1"/>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AC0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A7A4">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D4D51"/>
    <w:rsid w:val="036839EA"/>
    <w:rsid w:val="063517BC"/>
    <w:rsid w:val="07CA4C73"/>
    <w:rsid w:val="087F559D"/>
    <w:rsid w:val="16AB5C70"/>
    <w:rsid w:val="1C25106F"/>
    <w:rsid w:val="1CFD8DF6"/>
    <w:rsid w:val="1FFD8A87"/>
    <w:rsid w:val="1FFF9AD9"/>
    <w:rsid w:val="22AD555F"/>
    <w:rsid w:val="22DB168B"/>
    <w:rsid w:val="25BA7C7E"/>
    <w:rsid w:val="25D647F8"/>
    <w:rsid w:val="26CF2DB3"/>
    <w:rsid w:val="26F23701"/>
    <w:rsid w:val="295D54F0"/>
    <w:rsid w:val="2AF86ED7"/>
    <w:rsid w:val="2AFDF212"/>
    <w:rsid w:val="2B385C88"/>
    <w:rsid w:val="2B6BF484"/>
    <w:rsid w:val="2BA70CA4"/>
    <w:rsid w:val="2CB6DBC1"/>
    <w:rsid w:val="2D1A6194"/>
    <w:rsid w:val="2FFF7DE7"/>
    <w:rsid w:val="33843E50"/>
    <w:rsid w:val="33F748AD"/>
    <w:rsid w:val="34136117"/>
    <w:rsid w:val="34513697"/>
    <w:rsid w:val="35874596"/>
    <w:rsid w:val="35F2A362"/>
    <w:rsid w:val="362F3BFA"/>
    <w:rsid w:val="36EA2AC9"/>
    <w:rsid w:val="371A51D2"/>
    <w:rsid w:val="373BBD0C"/>
    <w:rsid w:val="380F5C07"/>
    <w:rsid w:val="38A0581C"/>
    <w:rsid w:val="39BFEDBA"/>
    <w:rsid w:val="39DBABD8"/>
    <w:rsid w:val="3AED12ED"/>
    <w:rsid w:val="3AFF6A5D"/>
    <w:rsid w:val="3BDD34D2"/>
    <w:rsid w:val="3BDDFF97"/>
    <w:rsid w:val="3BFFD43B"/>
    <w:rsid w:val="3C7BD5C9"/>
    <w:rsid w:val="3E3536E3"/>
    <w:rsid w:val="3F850EA5"/>
    <w:rsid w:val="3FBF9251"/>
    <w:rsid w:val="3FED766E"/>
    <w:rsid w:val="3FFEEAD9"/>
    <w:rsid w:val="3FFFE931"/>
    <w:rsid w:val="41E53E7C"/>
    <w:rsid w:val="4387343D"/>
    <w:rsid w:val="457F07F2"/>
    <w:rsid w:val="4590717F"/>
    <w:rsid w:val="492143E7"/>
    <w:rsid w:val="4A1D0657"/>
    <w:rsid w:val="4BD034A7"/>
    <w:rsid w:val="4CC6FDBD"/>
    <w:rsid w:val="4E07F45D"/>
    <w:rsid w:val="4F147B4F"/>
    <w:rsid w:val="4FF59AF5"/>
    <w:rsid w:val="503D00E8"/>
    <w:rsid w:val="55FE10A2"/>
    <w:rsid w:val="564C4C73"/>
    <w:rsid w:val="56EF6619"/>
    <w:rsid w:val="577675F9"/>
    <w:rsid w:val="57AF1E73"/>
    <w:rsid w:val="57F56770"/>
    <w:rsid w:val="58F509F1"/>
    <w:rsid w:val="5AB21C33"/>
    <w:rsid w:val="5B6A7475"/>
    <w:rsid w:val="5B778EC0"/>
    <w:rsid w:val="5B997438"/>
    <w:rsid w:val="5BFD93EC"/>
    <w:rsid w:val="5C074CC3"/>
    <w:rsid w:val="5C553C81"/>
    <w:rsid w:val="5CBA8FF2"/>
    <w:rsid w:val="5D5F7E21"/>
    <w:rsid w:val="5F5B35E4"/>
    <w:rsid w:val="609FA7B0"/>
    <w:rsid w:val="60D57595"/>
    <w:rsid w:val="6709456F"/>
    <w:rsid w:val="67B7CE1F"/>
    <w:rsid w:val="69FCE5E7"/>
    <w:rsid w:val="6BCDA9CC"/>
    <w:rsid w:val="6D9F2765"/>
    <w:rsid w:val="6DB508E5"/>
    <w:rsid w:val="6DDFA6BD"/>
    <w:rsid w:val="6E767ACE"/>
    <w:rsid w:val="6E781687"/>
    <w:rsid w:val="6EEE3ED1"/>
    <w:rsid w:val="6EFFED40"/>
    <w:rsid w:val="6F1B2166"/>
    <w:rsid w:val="6F5FC1DE"/>
    <w:rsid w:val="6FB3E1FD"/>
    <w:rsid w:val="6FD768E4"/>
    <w:rsid w:val="6FDD600F"/>
    <w:rsid w:val="6FF341F1"/>
    <w:rsid w:val="6FFEBD86"/>
    <w:rsid w:val="70C932BA"/>
    <w:rsid w:val="728A3ABA"/>
    <w:rsid w:val="73FF1F09"/>
    <w:rsid w:val="73FF684B"/>
    <w:rsid w:val="74A708C5"/>
    <w:rsid w:val="76DFCB7D"/>
    <w:rsid w:val="771D4D51"/>
    <w:rsid w:val="7735A28E"/>
    <w:rsid w:val="77778F6D"/>
    <w:rsid w:val="77ABFD6B"/>
    <w:rsid w:val="77B7A121"/>
    <w:rsid w:val="77C748BA"/>
    <w:rsid w:val="77DD24F1"/>
    <w:rsid w:val="77F10335"/>
    <w:rsid w:val="77F7E860"/>
    <w:rsid w:val="77FB8D34"/>
    <w:rsid w:val="78EE6B97"/>
    <w:rsid w:val="797D0128"/>
    <w:rsid w:val="79EDB415"/>
    <w:rsid w:val="7ABBCDAB"/>
    <w:rsid w:val="7AFCAD25"/>
    <w:rsid w:val="7AFEB9B4"/>
    <w:rsid w:val="7B5E0C37"/>
    <w:rsid w:val="7B63F034"/>
    <w:rsid w:val="7B735637"/>
    <w:rsid w:val="7B7DE504"/>
    <w:rsid w:val="7BBD4F47"/>
    <w:rsid w:val="7BED5439"/>
    <w:rsid w:val="7BFEC4F8"/>
    <w:rsid w:val="7D72F961"/>
    <w:rsid w:val="7DA14F75"/>
    <w:rsid w:val="7DB12205"/>
    <w:rsid w:val="7DB57A61"/>
    <w:rsid w:val="7DC7DC1F"/>
    <w:rsid w:val="7DF95E12"/>
    <w:rsid w:val="7DFDF40F"/>
    <w:rsid w:val="7DFF9BC7"/>
    <w:rsid w:val="7EB645E3"/>
    <w:rsid w:val="7EB6B7AB"/>
    <w:rsid w:val="7EDEF702"/>
    <w:rsid w:val="7EFD6908"/>
    <w:rsid w:val="7EFF8787"/>
    <w:rsid w:val="7F1C270D"/>
    <w:rsid w:val="7F5F4807"/>
    <w:rsid w:val="7F722518"/>
    <w:rsid w:val="7F7CF90E"/>
    <w:rsid w:val="7F9E3557"/>
    <w:rsid w:val="7FBF2857"/>
    <w:rsid w:val="7FD3B1BB"/>
    <w:rsid w:val="7FE7031F"/>
    <w:rsid w:val="7FEC5D3B"/>
    <w:rsid w:val="7FEF37E2"/>
    <w:rsid w:val="7FF70813"/>
    <w:rsid w:val="7FF7B584"/>
    <w:rsid w:val="7FFDFB4B"/>
    <w:rsid w:val="7FFF1910"/>
    <w:rsid w:val="7FFF8C1D"/>
    <w:rsid w:val="7FFF92F0"/>
    <w:rsid w:val="7FFFF07C"/>
    <w:rsid w:val="9BF3195D"/>
    <w:rsid w:val="A5DB4128"/>
    <w:rsid w:val="A6E375DB"/>
    <w:rsid w:val="A6EFA809"/>
    <w:rsid w:val="A6F7CC0B"/>
    <w:rsid w:val="AABFBDFA"/>
    <w:rsid w:val="AF7DE88E"/>
    <w:rsid w:val="AFED1DC0"/>
    <w:rsid w:val="AFFBB299"/>
    <w:rsid w:val="B3ECA4C8"/>
    <w:rsid w:val="B4D7E8EA"/>
    <w:rsid w:val="B4EF3795"/>
    <w:rsid w:val="B5E79B51"/>
    <w:rsid w:val="B6E7F02A"/>
    <w:rsid w:val="B797ED78"/>
    <w:rsid w:val="BB75119C"/>
    <w:rsid w:val="BBD3B774"/>
    <w:rsid w:val="BBDF02B2"/>
    <w:rsid w:val="BCFB0575"/>
    <w:rsid w:val="BE5EC634"/>
    <w:rsid w:val="BEC77393"/>
    <w:rsid w:val="BEFECBAE"/>
    <w:rsid w:val="BF2F7DA9"/>
    <w:rsid w:val="BF7F7592"/>
    <w:rsid w:val="BFB71281"/>
    <w:rsid w:val="BFBDF2DF"/>
    <w:rsid w:val="BFF9117D"/>
    <w:rsid w:val="BFFF6947"/>
    <w:rsid w:val="C8FDA203"/>
    <w:rsid w:val="CEF79301"/>
    <w:rsid w:val="CEFBB93B"/>
    <w:rsid w:val="CF7C6158"/>
    <w:rsid w:val="CF9D4E98"/>
    <w:rsid w:val="CFBFEC5E"/>
    <w:rsid w:val="D65BF816"/>
    <w:rsid w:val="D73F10CF"/>
    <w:rsid w:val="D977C3BB"/>
    <w:rsid w:val="D977C9A6"/>
    <w:rsid w:val="D9FF310B"/>
    <w:rsid w:val="DBF57698"/>
    <w:rsid w:val="DBFFAB54"/>
    <w:rsid w:val="DDFF5069"/>
    <w:rsid w:val="DECF83A1"/>
    <w:rsid w:val="DEEBD176"/>
    <w:rsid w:val="DEED29CB"/>
    <w:rsid w:val="DEFF6025"/>
    <w:rsid w:val="DF4E686F"/>
    <w:rsid w:val="DF7F78BD"/>
    <w:rsid w:val="DFDFC0CD"/>
    <w:rsid w:val="DFF7F21C"/>
    <w:rsid w:val="DFFE4986"/>
    <w:rsid w:val="E3F74AB8"/>
    <w:rsid w:val="E5FD7CF6"/>
    <w:rsid w:val="E7FE6222"/>
    <w:rsid w:val="E9BB2A12"/>
    <w:rsid w:val="EDDF69E1"/>
    <w:rsid w:val="EDF76BB3"/>
    <w:rsid w:val="EEF68640"/>
    <w:rsid w:val="EFF41AC0"/>
    <w:rsid w:val="EFF76D95"/>
    <w:rsid w:val="EFFF2C87"/>
    <w:rsid w:val="EFFFA435"/>
    <w:rsid w:val="F1DF82E1"/>
    <w:rsid w:val="F1F64F55"/>
    <w:rsid w:val="F2E22473"/>
    <w:rsid w:val="F35D14F0"/>
    <w:rsid w:val="F3F4C349"/>
    <w:rsid w:val="F3F64609"/>
    <w:rsid w:val="F4E96614"/>
    <w:rsid w:val="F4F54B3B"/>
    <w:rsid w:val="F58EBBB0"/>
    <w:rsid w:val="F5CBD2AD"/>
    <w:rsid w:val="F6FE0D0F"/>
    <w:rsid w:val="F9B8FDC3"/>
    <w:rsid w:val="F9BF4E89"/>
    <w:rsid w:val="FA79E738"/>
    <w:rsid w:val="FAD729CA"/>
    <w:rsid w:val="FB1B5977"/>
    <w:rsid w:val="FBF62448"/>
    <w:rsid w:val="FBF76486"/>
    <w:rsid w:val="FBFF7DC7"/>
    <w:rsid w:val="FC37AF17"/>
    <w:rsid w:val="FCDE5A6F"/>
    <w:rsid w:val="FCEBB697"/>
    <w:rsid w:val="FCFE5638"/>
    <w:rsid w:val="FCFF1FE1"/>
    <w:rsid w:val="FD7C7175"/>
    <w:rsid w:val="FDD7319B"/>
    <w:rsid w:val="FDDE4FF7"/>
    <w:rsid w:val="FDF8F696"/>
    <w:rsid w:val="FE7B38A4"/>
    <w:rsid w:val="FE7EBDAF"/>
    <w:rsid w:val="FEAF5424"/>
    <w:rsid w:val="FECB8DB0"/>
    <w:rsid w:val="FECF948F"/>
    <w:rsid w:val="FEDCE487"/>
    <w:rsid w:val="FEED62B0"/>
    <w:rsid w:val="FEEFF60E"/>
    <w:rsid w:val="FEFD6F73"/>
    <w:rsid w:val="FF0F1500"/>
    <w:rsid w:val="FF5995C2"/>
    <w:rsid w:val="FF6B552C"/>
    <w:rsid w:val="FF6F74D4"/>
    <w:rsid w:val="FF7FA722"/>
    <w:rsid w:val="FFBB4B28"/>
    <w:rsid w:val="FFCFE300"/>
    <w:rsid w:val="FFD58A98"/>
    <w:rsid w:val="FFDD382A"/>
    <w:rsid w:val="FFDFD60A"/>
    <w:rsid w:val="FFE6C62C"/>
    <w:rsid w:val="FFE6F78D"/>
    <w:rsid w:val="FFEBBD1A"/>
    <w:rsid w:val="FFEF3B9A"/>
    <w:rsid w:val="FFF171B6"/>
    <w:rsid w:val="FFF33D76"/>
    <w:rsid w:val="FFFA984C"/>
    <w:rsid w:val="FFFB4651"/>
    <w:rsid w:val="FFFD90B9"/>
    <w:rsid w:val="FFFEA9BF"/>
    <w:rsid w:val="FFFF2620"/>
    <w:rsid w:val="FFFF5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3">
    <w:name w:val="Body Text"/>
    <w:basedOn w:val="1"/>
    <w:qFormat/>
    <w:uiPriority w:val="99"/>
    <w:pPr>
      <w:widowControl/>
      <w:tabs>
        <w:tab w:val="left" w:pos="2160"/>
      </w:tabs>
      <w:spacing w:line="480" w:lineRule="auto"/>
      <w:jc w:val="left"/>
    </w:pPr>
    <w:rPr>
      <w:rFonts w:ascii="楷体_GB2312" w:eastAsia="黑体"/>
      <w:kern w:val="0"/>
      <w:position w:val="3"/>
      <w:sz w:val="20"/>
      <w:szCs w:val="20"/>
      <w:lang w:eastAsia="en-US"/>
    </w:rPr>
  </w:style>
  <w:style w:type="paragraph" w:styleId="4">
    <w:name w:val="Body Text Indent"/>
    <w:basedOn w:val="1"/>
    <w:qFormat/>
    <w:uiPriority w:val="0"/>
    <w:pPr>
      <w:spacing w:after="120"/>
      <w:ind w:leftChars="200"/>
    </w:pPr>
    <w:rPr>
      <w:rFonts w:ascii="仿宋_GB2312"/>
      <w:szCs w:val="32"/>
    </w:rPr>
  </w:style>
  <w:style w:type="paragraph" w:styleId="5">
    <w:name w:val="footer"/>
    <w:basedOn w:val="1"/>
    <w:unhideWhenUsed/>
    <w:qFormat/>
    <w:uiPriority w:val="99"/>
    <w:pPr>
      <w:tabs>
        <w:tab w:val="center" w:pos="4153"/>
        <w:tab w:val="right" w:pos="8306"/>
      </w:tabs>
      <w:snapToGrid w:val="0"/>
      <w:jc w:val="left"/>
    </w:pPr>
    <w:rPr>
      <w:sz w:val="18"/>
      <w:szCs w:val="18"/>
      <w:lang w:val="zh-CN" w:eastAsia="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toc 1"/>
    <w:basedOn w:val="1"/>
    <w:next w:val="1"/>
    <w:qFormat/>
    <w:uiPriority w:val="0"/>
  </w:style>
  <w:style w:type="paragraph" w:styleId="8">
    <w:name w:val="Body Text First Indent 2"/>
    <w:basedOn w:val="4"/>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2236</Words>
  <Characters>2315</Characters>
  <Lines>0</Lines>
  <Paragraphs>0</Paragraphs>
  <TotalTime>0</TotalTime>
  <ScaleCrop>false</ScaleCrop>
  <LinksUpToDate>false</LinksUpToDate>
  <CharactersWithSpaces>2347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2020-07-13T16:13:00Z</dcterms:created>
  <dc:creator>Administrator</dc:creator>
  <cp:lastModifiedBy>Administrator</cp:lastModifiedBy>
  <cp:lastPrinted>2025-05-20T08:17:00Z</cp:lastPrinted>
  <dcterms:modified xsi:type="dcterms:W3CDTF">2025-05-21T08:20:16Z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2981157C3CA04950AB79383CBEEFCBBE_13</vt:lpwstr>
  </property>
  <property fmtid="{D5CDD505-2E9C-101B-9397-08002B2CF9AE}" pid="4" name="KSOTemplateDocerSaveRecord">
    <vt:lpwstr>eyJoZGlkIjoiNzcxYjRhYWIxMTQ5YTFkNWM3NmNjOWM1NWY0MzgzNzUifQ==</vt:lpwstr>
  </property>
</Properties>
</file>