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96597"/>
      <w:bookmarkStart w:id="1" w:name="_Toc15377193"/>
      <w:bookmarkStart w:id="2" w:name="_Toc15378441"/>
      <w:bookmarkStart w:id="3" w:name="_Toc15396475"/>
      <w:bookmarkStart w:id="4" w:name="_Toc15377425"/>
      <w:bookmarkStart w:id="5" w:name="_Toc15306267"/>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5"/>
        <w:jc w:val="center"/>
        <w:rPr>
          <w:rFonts w:hint="eastAsia" w:ascii="Times New Roman" w:hAnsi="Times New Roman" w:eastAsia="仿宋_GB2312" w:cs="仿宋_GB2312"/>
          <w:color w:val="auto"/>
          <w:sz w:val="32"/>
          <w:szCs w:val="32"/>
          <w:highlight w:val="none"/>
          <w:lang w:val="en-US" w:eastAsia="zh-CN"/>
        </w:rPr>
      </w:pPr>
      <w:bookmarkStart w:id="6" w:name="_Toc15377194"/>
      <w:bookmarkStart w:id="7" w:name="_Toc15378442"/>
      <w:bookmarkStart w:id="8" w:name="_Toc15396476"/>
      <w:bookmarkStart w:id="9" w:name="_Toc1537742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遂宁市中心医院</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08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13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................................................................2</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w:t>
      </w:r>
      <w:r>
        <w:rPr>
          <w:rFonts w:hint="eastAsia" w:eastAsia="仿宋_GB2312" w:cs="仿宋_GB2312"/>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....................................9</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.......................................................................13</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2"/>
        <w:jc w:val="center"/>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2" w:name="_Toc15396599"/>
      <w:bookmarkStart w:id="13" w:name="_Toc15377196"/>
    </w:p>
    <w:p>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pPr>
        <w:widowControl/>
        <w:jc w:val="left"/>
        <w:rPr>
          <w:rFonts w:ascii="Times New Roman" w:hAnsi="Times New Roman" w:eastAsia="黑体"/>
          <w:color w:val="auto"/>
          <w:sz w:val="32"/>
          <w:szCs w:val="32"/>
          <w:highlight w:val="none"/>
        </w:rPr>
      </w:pPr>
    </w:p>
    <w:p>
      <w:pPr>
        <w:pStyle w:val="3"/>
        <w:numPr>
          <w:ilvl w:val="0"/>
          <w:numId w:val="1"/>
        </w:numPr>
        <w:rPr>
          <w:rFonts w:hint="eastAsia"/>
          <w:lang w:eastAsia="zh-CN"/>
        </w:rPr>
      </w:pPr>
      <w:r>
        <w:rPr>
          <w:rFonts w:hint="eastAsia" w:ascii="Times New Roman" w:hAnsi="Times New Roman" w:eastAsia="黑体"/>
          <w:b w:val="0"/>
          <w:color w:val="auto"/>
          <w:highlight w:val="none"/>
          <w:lang w:eastAsia="zh-CN"/>
        </w:rPr>
        <w:t>部门职责</w:t>
      </w:r>
    </w:p>
    <w:p>
      <w:pPr>
        <w:rPr>
          <w:rFonts w:hint="eastAsia" w:ascii="宋体" w:hAnsi="宋体" w:cs="宋体"/>
          <w:sz w:val="28"/>
          <w:szCs w:val="28"/>
        </w:rPr>
      </w:pPr>
      <w:r>
        <w:rPr>
          <w:rFonts w:hint="eastAsia" w:ascii="宋体" w:hAnsi="宋体" w:cs="宋体"/>
          <w:sz w:val="28"/>
          <w:szCs w:val="28"/>
        </w:rPr>
        <w:t>1. 医疗服务</w:t>
      </w:r>
    </w:p>
    <w:p>
      <w:pPr>
        <w:ind w:right="420" w:rightChars="200"/>
        <w:rPr>
          <w:rFonts w:hint="eastAsia" w:ascii="宋体" w:hAnsi="宋体" w:cs="宋体"/>
          <w:sz w:val="28"/>
          <w:szCs w:val="28"/>
        </w:rPr>
      </w:pPr>
      <w:r>
        <w:rPr>
          <w:rFonts w:hint="eastAsia" w:ascii="宋体" w:hAnsi="宋体" w:cs="宋体"/>
          <w:sz w:val="28"/>
          <w:szCs w:val="28"/>
        </w:rPr>
        <w:t xml:space="preserve">    提供疾病的诊断、治疗和护理，运用专业的医疗知识和技术，为患者缓解病痛，促进康复。开展急诊救治，应对突发的疾病和意外伤害，保障患者生命安全。</w:t>
      </w:r>
    </w:p>
    <w:p>
      <w:pPr>
        <w:ind w:right="420" w:rightChars="200"/>
        <w:rPr>
          <w:rFonts w:hint="eastAsia" w:ascii="宋体" w:hAnsi="宋体" w:cs="宋体"/>
          <w:sz w:val="28"/>
          <w:szCs w:val="28"/>
        </w:rPr>
      </w:pPr>
      <w:r>
        <w:rPr>
          <w:rFonts w:hint="eastAsia" w:ascii="宋体" w:hAnsi="宋体" w:cs="宋体"/>
          <w:sz w:val="28"/>
          <w:szCs w:val="28"/>
        </w:rPr>
        <w:t>2. 预防保健</w:t>
      </w:r>
    </w:p>
    <w:p>
      <w:pPr>
        <w:ind w:right="420" w:rightChars="200"/>
        <w:rPr>
          <w:rFonts w:hint="eastAsia" w:ascii="宋体" w:hAnsi="宋体" w:cs="宋体"/>
          <w:sz w:val="28"/>
          <w:szCs w:val="28"/>
        </w:rPr>
      </w:pPr>
      <w:r>
        <w:rPr>
          <w:rFonts w:hint="eastAsia" w:ascii="宋体" w:hAnsi="宋体" w:cs="宋体"/>
          <w:sz w:val="28"/>
          <w:szCs w:val="28"/>
        </w:rPr>
        <w:t xml:space="preserve">    进行预防接种、健康体检等工作，宣传普及卫生保健知识，提高公众的健康意识和自我保健能力。参与公共卫生事件的防控和处置，如传染病的监测、预警和控制。</w:t>
      </w:r>
    </w:p>
    <w:p>
      <w:pPr>
        <w:ind w:right="420" w:rightChars="200"/>
        <w:rPr>
          <w:rFonts w:hint="eastAsia" w:ascii="宋体" w:hAnsi="宋体" w:cs="宋体"/>
          <w:sz w:val="28"/>
          <w:szCs w:val="28"/>
        </w:rPr>
      </w:pPr>
      <w:r>
        <w:rPr>
          <w:rFonts w:hint="eastAsia" w:ascii="宋体" w:hAnsi="宋体" w:cs="宋体"/>
          <w:sz w:val="28"/>
          <w:szCs w:val="28"/>
        </w:rPr>
        <w:t>3. 医学科研</w:t>
      </w:r>
    </w:p>
    <w:p>
      <w:pPr>
        <w:ind w:right="420" w:rightChars="200"/>
        <w:rPr>
          <w:rFonts w:hint="eastAsia" w:ascii="宋体" w:hAnsi="宋体" w:cs="宋体"/>
          <w:sz w:val="28"/>
          <w:szCs w:val="28"/>
        </w:rPr>
      </w:pPr>
      <w:r>
        <w:rPr>
          <w:rFonts w:hint="eastAsia" w:ascii="宋体" w:hAnsi="宋体" w:cs="宋体"/>
          <w:sz w:val="28"/>
          <w:szCs w:val="28"/>
        </w:rPr>
        <w:t xml:space="preserve">    开展医学研究，探索疾病的发病机制、治疗方法和预防策略，推动医学科学的进步。培养医学人才，为医学领域输送专业的医生、护士和其他医疗技术人员。</w:t>
      </w:r>
    </w:p>
    <w:p>
      <w:pPr>
        <w:ind w:right="420" w:rightChars="200"/>
        <w:rPr>
          <w:rFonts w:hint="eastAsia" w:ascii="宋体" w:hAnsi="宋体" w:cs="宋体"/>
          <w:sz w:val="28"/>
          <w:szCs w:val="28"/>
        </w:rPr>
      </w:pPr>
      <w:r>
        <w:rPr>
          <w:rFonts w:hint="eastAsia" w:ascii="宋体" w:hAnsi="宋体" w:cs="宋体"/>
          <w:sz w:val="28"/>
          <w:szCs w:val="28"/>
        </w:rPr>
        <w:t>4. 康复服务</w:t>
      </w:r>
    </w:p>
    <w:p>
      <w:pPr>
        <w:ind w:right="420" w:rightChars="200"/>
        <w:rPr>
          <w:rFonts w:hint="eastAsia" w:ascii="宋体" w:hAnsi="宋体" w:cs="宋体"/>
          <w:sz w:val="28"/>
          <w:szCs w:val="28"/>
        </w:rPr>
      </w:pPr>
      <w:r>
        <w:rPr>
          <w:rFonts w:hint="eastAsia" w:ascii="宋体" w:hAnsi="宋体" w:cs="宋体"/>
          <w:sz w:val="28"/>
          <w:szCs w:val="28"/>
        </w:rPr>
        <w:t xml:space="preserve">    为患者提供康复治疗和康复指导，帮助其恢复身体功能，提高生活质量。</w:t>
      </w:r>
    </w:p>
    <w:p>
      <w:pPr>
        <w:ind w:right="420" w:rightChars="200"/>
        <w:rPr>
          <w:rFonts w:hint="eastAsia" w:ascii="宋体" w:hAnsi="宋体" w:cs="宋体"/>
          <w:sz w:val="28"/>
          <w:szCs w:val="28"/>
        </w:rPr>
      </w:pPr>
      <w:r>
        <w:rPr>
          <w:rFonts w:hint="eastAsia" w:ascii="宋体" w:hAnsi="宋体" w:cs="宋体"/>
          <w:sz w:val="28"/>
          <w:szCs w:val="28"/>
        </w:rPr>
        <w:t>5. 教学培训</w:t>
      </w:r>
    </w:p>
    <w:p>
      <w:pPr>
        <w:ind w:right="420" w:rightChars="200"/>
        <w:rPr>
          <w:rFonts w:hint="eastAsia" w:ascii="宋体" w:hAnsi="宋体" w:cs="宋体"/>
          <w:sz w:val="28"/>
          <w:szCs w:val="28"/>
        </w:rPr>
      </w:pPr>
      <w:r>
        <w:rPr>
          <w:rFonts w:hint="eastAsia" w:ascii="宋体" w:hAnsi="宋体" w:cs="宋体"/>
          <w:sz w:val="28"/>
          <w:szCs w:val="28"/>
        </w:rPr>
        <w:t xml:space="preserve">    承担医学教育任务，对医学生、实习医生和进修医生进行临床教学和培训。</w:t>
      </w:r>
    </w:p>
    <w:p>
      <w:pPr>
        <w:ind w:right="420" w:rightChars="200"/>
        <w:rPr>
          <w:rFonts w:hint="eastAsia" w:ascii="宋体" w:hAnsi="宋体" w:cs="宋体"/>
          <w:sz w:val="28"/>
          <w:szCs w:val="28"/>
        </w:rPr>
      </w:pPr>
      <w:r>
        <w:rPr>
          <w:rFonts w:hint="eastAsia" w:ascii="宋体" w:hAnsi="宋体" w:cs="宋体"/>
          <w:sz w:val="28"/>
          <w:szCs w:val="28"/>
        </w:rPr>
        <w:t>6. 医疗管理</w:t>
      </w:r>
    </w:p>
    <w:p>
      <w:pPr>
        <w:ind w:right="420" w:rightChars="200"/>
        <w:rPr>
          <w:rFonts w:hint="eastAsia" w:ascii="宋体" w:hAnsi="宋体" w:cs="宋体"/>
          <w:sz w:val="28"/>
          <w:szCs w:val="28"/>
        </w:rPr>
      </w:pPr>
      <w:r>
        <w:rPr>
          <w:rFonts w:hint="eastAsia" w:ascii="宋体" w:hAnsi="宋体" w:cs="宋体"/>
          <w:sz w:val="28"/>
          <w:szCs w:val="28"/>
        </w:rPr>
        <w:t xml:space="preserve">    建立健全医院的管理制度和工作流程，确保医疗服务的质量和安全。</w:t>
      </w:r>
    </w:p>
    <w:p>
      <w:pPr>
        <w:ind w:right="420" w:rightChars="200"/>
        <w:rPr>
          <w:rFonts w:hint="eastAsia" w:ascii="宋体" w:hAnsi="宋体" w:cs="宋体"/>
          <w:sz w:val="28"/>
          <w:szCs w:val="28"/>
        </w:rPr>
      </w:pPr>
      <w:r>
        <w:rPr>
          <w:rFonts w:hint="eastAsia" w:ascii="宋体" w:hAnsi="宋体" w:cs="宋体"/>
          <w:sz w:val="28"/>
          <w:szCs w:val="28"/>
        </w:rPr>
        <w:t>合理配置医疗资源，提高医疗效率和效益。</w:t>
      </w:r>
    </w:p>
    <w:p>
      <w:pPr>
        <w:ind w:right="420" w:rightChars="200"/>
        <w:rPr>
          <w:rFonts w:hint="eastAsia" w:ascii="宋体" w:hAnsi="宋体" w:cs="宋体"/>
          <w:sz w:val="28"/>
          <w:szCs w:val="28"/>
        </w:rPr>
      </w:pPr>
      <w:r>
        <w:rPr>
          <w:rFonts w:hint="eastAsia" w:ascii="宋体" w:hAnsi="宋体" w:cs="宋体"/>
          <w:sz w:val="28"/>
          <w:szCs w:val="28"/>
        </w:rPr>
        <w:t>7. 医患沟通</w:t>
      </w:r>
    </w:p>
    <w:p>
      <w:pPr>
        <w:ind w:right="420" w:rightChars="200" w:firstLine="560"/>
        <w:rPr>
          <w:rFonts w:hint="eastAsia" w:ascii="宋体" w:hAnsi="宋体" w:cs="宋体"/>
          <w:sz w:val="28"/>
          <w:szCs w:val="28"/>
        </w:rPr>
      </w:pPr>
      <w:r>
        <w:rPr>
          <w:rFonts w:hint="eastAsia" w:ascii="宋体" w:hAnsi="宋体" w:cs="宋体"/>
          <w:sz w:val="28"/>
          <w:szCs w:val="28"/>
        </w:rPr>
        <w:t>保持与患者及其家属的良好沟通，解答疑问，提供心理支持和人文关怀。</w:t>
      </w:r>
    </w:p>
    <w:p>
      <w:pPr>
        <w:rPr>
          <w:rFonts w:hint="eastAsia"/>
          <w:lang w:eastAsia="zh-CN"/>
        </w:rPr>
      </w:pPr>
    </w:p>
    <w:p>
      <w:pPr>
        <w:pStyle w:val="3"/>
        <w:rPr>
          <w:rStyle w:val="29"/>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pPr>
        <w:widowControl/>
        <w:ind w:firstLine="600" w:firstLineChars="200"/>
        <w:jc w:val="left"/>
        <w:rPr>
          <w:rFonts w:ascii="Times New Roman" w:hAnsi="Times New Roman" w:eastAsia="仿宋"/>
          <w:color w:val="auto"/>
          <w:kern w:val="0"/>
          <w:sz w:val="32"/>
          <w:szCs w:val="32"/>
          <w:highlight w:val="none"/>
        </w:rPr>
      </w:pPr>
      <w:r>
        <w:rPr>
          <w:rFonts w:hint="eastAsia" w:ascii="宋体" w:hAnsi="宋体" w:cs="宋体"/>
          <w:color w:val="000000"/>
          <w:sz w:val="30"/>
          <w:szCs w:val="30"/>
          <w:shd w:val="clear" w:color="auto" w:fill="FFFFFF"/>
        </w:rPr>
        <w:t>医院现设有临床专业39个，临床病区46个，医技科室11个，临床专业组147个，医技专业组30个。其中，河东分部以疾病系统分类整合为基础，成立呼吸中心、心血管中心、消化中心、骨科中心、神经中心、肾内科和血液净化室，并建有高水平的数字化ICU、手术室。海扶中心累计治疗量超10000余例，医院牵头成立了四川省医学会微无创专委会和四川省医师协会微无创学组，成为四川省同级医院首个省级专业学会主任委员单位。医院现有1个国家临床重点专科建设项目、拥有超声医学工程国家重点实验室（遂宁分实验室）、国家消化系统疾病临床医学研究中心成渝中部地区分中心、国家神经系统疾病临床医学研究中心分中心，成功创建博士后创新实践基地。省级临床重点专科6个，“川渝共建”临床重点专科建设项目3个，省级医学重点学（专）科22个分别为：放射影像科、妇产科、神经内科、消化内科、肝胆外科、儿科、呼吸内科、神经外科、泌尿外科、检验科、眼科、骨科中心、口腔科、胃肠外科、皮肤科、护理学、胸外科、肿瘤中心、康复医学科、心血管中心。医院注重学科建设，努力打造优势学科群，以胸痛中心、卒中中心等为代表的学科已具备较大影响力。以重点专科为龙头，带动医院学术技术不断发展。医院目前能施行包括心、脑、肝、肾、胸部、腹部、脊柱等高难度大型手术，能诊治各种疑难急危重症患者。近年来，我院腹腔镜、胸腔镜、宫腔镜、胆道镜、关节镜、前列腺电切镜等一系列腔镜技术在各学科广泛运用，介入微创技术迅速发展，综合诊疗水平处于省内同级医院先进行列。</w:t>
      </w:r>
      <w:r>
        <w:rPr>
          <w:rFonts w:ascii="Times New Roman" w:hAnsi="Times New Roman" w:eastAsia="仿宋"/>
          <w:color w:val="auto"/>
          <w:sz w:val="32"/>
          <w:szCs w:val="32"/>
          <w:highlight w:val="none"/>
        </w:rPr>
        <w:br w:type="page"/>
      </w:r>
    </w:p>
    <w:p>
      <w:pPr>
        <w:pStyle w:val="2"/>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247725.47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6489.78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2.69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河东院区的正式运营，病人数量较2023年增多。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63" w:name="_GoBack"/>
      <w:bookmarkEnd w:id="6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bookmarkStart w:id="20" w:name="_Toc15377206"/>
      <w:bookmarkStart w:id="21" w:name="_Toc15396604"/>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247725.47万元，其中：一般公共预算财政拨款收入5668.81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2.28</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227886.35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91.99</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14170.31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5.72</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2080" w:firstLineChars="6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245726.11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240627.55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97.92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5098.56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2.07</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325120</wp:posOffset>
            </wp:positionH>
            <wp:positionV relativeFrom="paragraph">
              <wp:posOffset>81280</wp:posOffset>
            </wp:positionV>
            <wp:extent cx="4826000" cy="2743200"/>
            <wp:effectExtent l="4445" t="4445" r="825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5668.81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3153.35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35.74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地方政府专项债券已于2023年完成拨付。</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4445</wp:posOffset>
            </wp:positionH>
            <wp:positionV relativeFrom="paragraph">
              <wp:posOffset>-2453005</wp:posOffset>
            </wp:positionV>
            <wp:extent cx="4826000" cy="2743200"/>
            <wp:effectExtent l="4445" t="4445" r="8255" b="1460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spacing w:line="600" w:lineRule="exact"/>
        <w:ind w:firstLine="640"/>
        <w:rPr>
          <w:rFonts w:hint="eastAsia" w:ascii="仿宋" w:hAnsi="仿宋" w:eastAsia="仿宋"/>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5668.81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%。与2023年度相比，一般公共预算财政拨款支出减少1153.35万元，下降16.91%。主要变动原因是2023年拨付了</w:t>
      </w:r>
      <w:r>
        <w:rPr>
          <w:rFonts w:hint="eastAsia" w:ascii="仿宋" w:hAnsi="仿宋" w:eastAsia="仿宋"/>
          <w:sz w:val="32"/>
          <w:szCs w:val="32"/>
        </w:rPr>
        <w:t>医务人员临时性工作补助资金</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289560</wp:posOffset>
            </wp:positionH>
            <wp:positionV relativeFrom="paragraph">
              <wp:posOffset>-8416925</wp:posOffset>
            </wp:positionV>
            <wp:extent cx="4826000" cy="2743200"/>
            <wp:effectExtent l="4445" t="4445" r="8255" b="14605"/>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5668.81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22.73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32.82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0.58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5613.26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99.02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5"/>
        <w:rPr>
          <w:rFonts w:hint="eastAsia" w:eastAsia="仿宋_GB2312" w:cs="仿宋_GB2312"/>
          <w:color w:val="auto"/>
          <w:kern w:val="2"/>
          <w:sz w:val="32"/>
          <w:szCs w:val="32"/>
          <w:highlight w:val="none"/>
          <w:lang w:val="en-US" w:eastAsia="zh-CN" w:bidi="ar-SA"/>
        </w:rPr>
      </w:pPr>
      <w: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5668.81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2"/>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科学技术（类）基础研究（款）专项基础科研（项）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5"/>
        <w:ind w:firstLine="640" w:firstLineChars="200"/>
        <w:rPr>
          <w:rFonts w:hint="default"/>
          <w:lang w:val="en-US" w:eastAsia="zh-CN"/>
        </w:rPr>
      </w:pPr>
      <w:r>
        <w:rPr>
          <w:rFonts w:hint="eastAsia"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科学技术（类）基础研究（款）重点研发计划（项）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cs="仿宋_GB2312"/>
          <w:color w:val="auto"/>
          <w:kern w:val="2"/>
          <w:sz w:val="32"/>
          <w:szCs w:val="32"/>
          <w:highlight w:val="none"/>
          <w:lang w:val="en-US" w:eastAsia="zh-CN" w:bidi="ar-SA"/>
        </w:rPr>
        <w:t>12.73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cs="仿宋_GB2312"/>
          <w:color w:val="auto"/>
          <w:kern w:val="2"/>
          <w:sz w:val="32"/>
          <w:szCs w:val="32"/>
          <w:highlight w:val="none"/>
          <w:lang w:val="en-US" w:eastAsia="zh-CN" w:bidi="ar-SA"/>
        </w:rPr>
        <w:t>。</w:t>
      </w:r>
    </w:p>
    <w:p>
      <w:pPr>
        <w:pStyle w:val="5"/>
        <w:ind w:firstLine="60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t>3.</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cs="仿宋_GB2312"/>
          <w:color w:val="auto"/>
          <w:kern w:val="2"/>
          <w:sz w:val="32"/>
          <w:szCs w:val="32"/>
          <w:highlight w:val="none"/>
          <w:lang w:val="en-US" w:eastAsia="zh-CN" w:bidi="ar-SA"/>
        </w:rPr>
        <w:t>32.82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cs="仿宋_GB2312"/>
          <w:color w:val="auto"/>
          <w:kern w:val="2"/>
          <w:sz w:val="32"/>
          <w:szCs w:val="32"/>
          <w:highlight w:val="none"/>
          <w:lang w:val="en-US" w:eastAsia="zh-CN" w:bidi="ar-SA"/>
        </w:rPr>
        <w:t>。</w:t>
      </w:r>
    </w:p>
    <w:p>
      <w:pPr>
        <w:pStyle w:val="5"/>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.卫生健康支出（类）公立医院（款）综合医院（项）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Times New Roman" w:cs="仿宋_GB2312"/>
          <w:color w:val="auto"/>
          <w:kern w:val="2"/>
          <w:sz w:val="32"/>
          <w:szCs w:val="32"/>
          <w:highlight w:val="none"/>
          <w:lang w:val="en-US" w:eastAsia="zh-CN" w:bidi="ar-SA"/>
        </w:rPr>
        <w:t>572.69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Times New Roman"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.卫生健康（类）公立医院（款）其他公立医院支出（项）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1801.42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卫生健康（类）公共卫生（款）基本公共卫生服务（项）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15.70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卫生健康（类）公共卫生（款）重大公共卫生服务（项）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197.88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卫生健康（类）公共卫生（款）突发公共卫生事件应急处置（项）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1118.06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卫生健康（类）公共卫生（款）其他公共卫生支出（项）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19.39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卫生健康（类）其他卫生健康支出（款）其他公共卫生支出（项）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1888.12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1" w:name="_Toc15377214"/>
      <w:bookmarkStart w:id="32"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1"/>
      <w:bookmarkEnd w:id="32"/>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570.25</w:t>
      </w:r>
      <w:r>
        <w:rPr>
          <w:rFonts w:hint="eastAsia" w:ascii="Times New Roman" w:hAnsi="Times New Roman" w:eastAsia="仿宋_GB2312" w:cs="仿宋_GB2312"/>
          <w:color w:val="auto"/>
          <w:kern w:val="2"/>
          <w:sz w:val="32"/>
          <w:szCs w:val="32"/>
          <w:highlight w:val="none"/>
          <w:lang w:val="en-US" w:eastAsia="zh-CN" w:bidi="ar-SA"/>
        </w:rPr>
        <w:t>万元，其中：</w:t>
      </w:r>
    </w:p>
    <w:p>
      <w:pPr>
        <w:spacing w:line="600" w:lineRule="exact"/>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570.25</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sz w:val="32"/>
          <w:szCs w:val="32"/>
        </w:rPr>
        <w:t>主要包括：基本工资以及退休人员的一次性补助。</w:t>
      </w:r>
    </w:p>
    <w:p>
      <w:pPr>
        <w:spacing w:line="600" w:lineRule="exact"/>
        <w:ind w:firstLine="640"/>
        <w:outlineLvl w:val="1"/>
        <w:rPr>
          <w:rStyle w:val="29"/>
          <w:rFonts w:ascii="Times New Roman" w:hAnsi="Times New Roman" w:eastAsia="黑体"/>
          <w:b w:val="0"/>
          <w:color w:val="auto"/>
          <w:highlight w:val="none"/>
        </w:rPr>
      </w:pPr>
      <w:bookmarkStart w:id="33" w:name="_Toc15396609"/>
      <w:bookmarkStart w:id="34"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3"/>
      <w:bookmarkEnd w:id="34"/>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5" w:name="_Toc15377216"/>
      <w:r>
        <w:rPr>
          <w:rFonts w:hint="eastAsia" w:ascii="Times New Roman" w:hAnsi="Times New Roman" w:eastAsia="楷体_GB2312" w:cs="楷体_GB2312"/>
          <w:b/>
          <w:color w:val="auto"/>
          <w:sz w:val="32"/>
          <w:szCs w:val="32"/>
          <w:highlight w:val="none"/>
        </w:rPr>
        <w:t>“三公”经费财政拨款支出决算总体情况说明</w:t>
      </w:r>
      <w:bookmarkEnd w:id="35"/>
    </w:p>
    <w:p>
      <w:pPr>
        <w:spacing w:line="600" w:lineRule="exact"/>
        <w:ind w:firstLine="640"/>
        <w:outlineLvl w:val="1"/>
        <w:rPr>
          <w:rFonts w:hint="eastAsia" w:ascii="黑体" w:eastAsia="仿宋"/>
          <w:sz w:val="32"/>
          <w:szCs w:val="32"/>
        </w:rPr>
      </w:pPr>
      <w:bookmarkStart w:id="36" w:name="_Toc15396610"/>
      <w:bookmarkStart w:id="37" w:name="_Toc15377218"/>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年“三公”经费财政决算共计0万元，主要原因是遂宁市中心医院属财政差额拨款单位，财政未对我单位“三公”经费进行预算拨款。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万元。与2023年度相比，政府性基金预算财政拨款支出减少</w:t>
      </w:r>
      <w:r>
        <w:rPr>
          <w:rFonts w:hint="eastAsia" w:eastAsia="仿宋_GB2312" w:cs="仿宋_GB2312"/>
          <w:color w:val="auto"/>
          <w:kern w:val="2"/>
          <w:sz w:val="32"/>
          <w:szCs w:val="32"/>
          <w:highlight w:val="none"/>
          <w:lang w:val="en-US" w:eastAsia="zh-CN" w:bidi="ar-SA"/>
        </w:rPr>
        <w:t>2000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2023年地方政府专项债券已经拨付完毕。</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年度国有资本经营预算财政拨款支出0.00万元。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遂宁市中心医院</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遂宁市中心医院</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16598.90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7825.70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8773.20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遂宁市中心医院</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辆，其中：特种专业技术用车</w:t>
      </w:r>
      <w:r>
        <w:rPr>
          <w:rFonts w:hint="eastAsia" w:eastAsia="仿宋_GB2312" w:cs="仿宋_GB2312"/>
          <w:color w:val="auto"/>
          <w:kern w:val="2"/>
          <w:sz w:val="32"/>
          <w:szCs w:val="32"/>
          <w:highlight w:val="none"/>
          <w:lang w:val="en-US" w:eastAsia="zh-CN" w:bidi="ar-SA"/>
        </w:rPr>
        <w:t>11辆，其他用车4辆。</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286</w:t>
      </w:r>
      <w:r>
        <w:rPr>
          <w:rFonts w:hint="eastAsia" w:ascii="Times New Roman" w:hAnsi="Times New Roman" w:eastAsia="仿宋_GB2312" w:cs="仿宋_GB2312"/>
          <w:color w:val="auto"/>
          <w:kern w:val="2"/>
          <w:sz w:val="32"/>
          <w:szCs w:val="32"/>
          <w:highlight w:val="none"/>
          <w:lang w:val="en-US" w:eastAsia="zh-CN" w:bidi="ar-SA"/>
        </w:rPr>
        <w:t>台（套）</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ascii="仿宋_GB2312" w:hAnsi="仿宋_GB2312" w:eastAsia="仿宋_GB2312" w:cs="仿宋_GB2312"/>
          <w:sz w:val="32"/>
          <w:szCs w:val="32"/>
        </w:rPr>
        <w:t>对信息化建设及运行维护经费、 设施设备维修费、设备购置经费等多个项目编制了绩效目标，绩效自评表详见第四部分附件。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7、年末结转和结余：指单位按有关规定结转到下年或以后年度继续使用的资金。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一般公共服务（类）支出，指政府提供一般公共服务的支出，包含发生的基本支出和项目支出。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科学技术（类）支出：指科技重大专项及重点研发项目支出。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社会保障和就业（类）：指政府在社会保障与就业方面的支出。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医疗卫生与计划生育（类）支出：指政府对医疗卫生方面的支出。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城乡社区（类）支出：指政府对征地和拆迁补偿类支出。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农林水（类）支出：指政府对其他扶贫类支出。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政府采购支出：为开展日常业务活动，在财政的监督下，以法定的方式、方法和程序，通过公开招标、公平竞争的方式购买货物、工程和服务。</w:t>
      </w:r>
    </w:p>
    <w:p>
      <w:pPr>
        <w:rPr>
          <w:rFonts w:hint="eastAsia" w:ascii="Times New Roman" w:hAnsi="Times New Roman" w:eastAsia="仿宋_GB2312" w:cs="仿宋_GB2312"/>
          <w:b/>
          <w:bCs/>
          <w:color w:val="auto"/>
          <w:kern w:val="2"/>
          <w:sz w:val="32"/>
          <w:szCs w:val="32"/>
          <w:highlight w:val="none"/>
          <w:lang w:val="en-US" w:eastAsia="zh-CN" w:bidi="ar-SA"/>
        </w:rPr>
      </w:pPr>
    </w:p>
    <w:p>
      <w:pPr>
        <w:pStyle w:val="5"/>
        <w:rPr>
          <w:rFonts w:hint="eastAsia"/>
          <w:lang w:val="en-US" w:eastAsia="zh-CN"/>
        </w:rPr>
      </w:pPr>
    </w:p>
    <w:p>
      <w:pPr>
        <w:spacing w:line="600" w:lineRule="exact"/>
        <w:jc w:val="center"/>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pStyle w:val="5"/>
        <w:rPr>
          <w:rFonts w:hint="eastAsia" w:eastAsia="宋体"/>
          <w:lang w:val="en-US" w:eastAsia="zh-CN"/>
        </w:rPr>
      </w:pPr>
      <w:r>
        <w:rPr>
          <w:rFonts w:hint="eastAsia" w:ascii="Times New Roman" w:eastAsia="楷体_GB2312" w:cs="楷体_GB2312"/>
          <w:b/>
          <w:color w:val="auto"/>
          <w:sz w:val="32"/>
          <w:szCs w:val="32"/>
          <w:highlight w:val="none"/>
          <w:lang w:val="en-US" w:eastAsia="zh-CN"/>
        </w:rPr>
        <w:t xml:space="preserve">   </w:t>
      </w:r>
      <w:r>
        <w:rPr>
          <w:rFonts w:hint="default" w:ascii="Times New Roman" w:hAnsi="Times New Roman" w:eastAsia="仿宋_GB2312" w:cs="Times New Roman"/>
          <w:kern w:val="2"/>
          <w:sz w:val="32"/>
          <w:szCs w:val="32"/>
          <w:lang w:val="en-US" w:eastAsia="zh-CN" w:bidi="ar-SA"/>
        </w:rPr>
        <w:t>本</w:t>
      </w:r>
      <w:r>
        <w:rPr>
          <w:rFonts w:hint="eastAsia" w:ascii="Times New Roman" w:hAnsi="Times New Roman" w:eastAsia="仿宋_GB2312" w:cs="Times New Roman"/>
          <w:kern w:val="2"/>
          <w:sz w:val="32"/>
          <w:szCs w:val="32"/>
          <w:lang w:val="en-US" w:eastAsia="zh-CN" w:bidi="ar-SA"/>
        </w:rPr>
        <w:t>单位</w:t>
      </w:r>
      <w:r>
        <w:rPr>
          <w:rFonts w:hint="default" w:ascii="Times New Roman" w:hAnsi="Times New Roman" w:eastAsia="仿宋_GB2312" w:cs="Times New Roman"/>
          <w:kern w:val="2"/>
          <w:sz w:val="32"/>
          <w:szCs w:val="32"/>
          <w:lang w:val="en-US" w:eastAsia="zh-CN" w:bidi="ar-SA"/>
        </w:rPr>
        <w:t>为三级甲等综合性医院，核定床位</w:t>
      </w:r>
      <w:r>
        <w:rPr>
          <w:rFonts w:hint="eastAsia" w:ascii="Times New Roman" w:hAnsi="Times New Roman" w:eastAsia="仿宋_GB2312" w:cs="Times New Roman"/>
          <w:kern w:val="2"/>
          <w:sz w:val="32"/>
          <w:szCs w:val="32"/>
          <w:lang w:val="en-US" w:eastAsia="zh-CN" w:bidi="ar-SA"/>
        </w:rPr>
        <w:t>2000</w:t>
      </w:r>
      <w:r>
        <w:rPr>
          <w:rFonts w:hint="default" w:ascii="Times New Roman" w:hAnsi="Times New Roman" w:eastAsia="仿宋_GB2312" w:cs="Times New Roman"/>
          <w:kern w:val="2"/>
          <w:sz w:val="32"/>
          <w:szCs w:val="32"/>
          <w:lang w:val="en-US" w:eastAsia="zh-CN" w:bidi="ar-SA"/>
        </w:rPr>
        <w:t>张</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pPr>
        <w:ind w:firstLine="640" w:firstLineChars="200"/>
        <w:rPr>
          <w:rFonts w:hint="eastAsia" w:ascii="仿宋_GB2312" w:hAnsi="Times New Roman" w:eastAsia="仿宋_GB2312" w:cs="Times New Roman"/>
          <w:color w:val="000000"/>
          <w:sz w:val="32"/>
          <w:szCs w:val="32"/>
          <w:lang w:val="zh-CN" w:eastAsia="zh-CN"/>
        </w:rPr>
      </w:pPr>
      <w:r>
        <w:rPr>
          <w:rFonts w:hint="eastAsia" w:ascii="仿宋_GB2312" w:hAnsi="Times New Roman" w:eastAsia="仿宋_GB2312" w:cs="Times New Roman"/>
          <w:color w:val="000000"/>
          <w:sz w:val="32"/>
          <w:szCs w:val="32"/>
        </w:rPr>
        <w:t>承担区域内常见病、多发病诊疗及急危重症救治</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承担</w:t>
      </w:r>
      <w:r>
        <w:rPr>
          <w:rFonts w:hint="eastAsia" w:ascii="仿宋_GB2312" w:hAnsi="Times New Roman" w:eastAsia="仿宋_GB2312" w:cs="Times New Roman"/>
          <w:color w:val="000000"/>
          <w:sz w:val="32"/>
          <w:szCs w:val="32"/>
          <w:lang w:val="en-US" w:eastAsia="zh-CN"/>
        </w:rPr>
        <w:t>多所学校</w:t>
      </w:r>
      <w:r>
        <w:rPr>
          <w:rFonts w:hint="eastAsia" w:ascii="仿宋_GB2312" w:hAnsi="Times New Roman" w:eastAsia="仿宋_GB2312" w:cs="Times New Roman"/>
          <w:color w:val="000000"/>
          <w:sz w:val="32"/>
          <w:szCs w:val="32"/>
        </w:rPr>
        <w:t>临床教学任务</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作为区域紧急医学救援中心，承担 重大活动医疗保障、突发事件应急处置等任务。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szCs w:val="32"/>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eastAsia="仿宋_GB2312" w:cs="仿宋_GB2312"/>
          <w:color w:val="auto"/>
          <w:kern w:val="2"/>
          <w:sz w:val="32"/>
          <w:szCs w:val="32"/>
          <w:highlight w:val="none"/>
          <w:lang w:val="en-US" w:eastAsia="zh-CN" w:bidi="ar-SA"/>
        </w:rPr>
        <w:t>实有人数3045人，其中在编在职1246人，其他人员1799人。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2024年年初预算收入：293703.50万元；</w:t>
      </w:r>
    </w:p>
    <w:p>
      <w:pPr>
        <w:pStyle w:val="5"/>
        <w:rPr>
          <w:rFonts w:hint="eastAsia" w:eastAsia="仿宋_GB2312"/>
          <w:lang w:val="en-US" w:eastAsia="zh-CN"/>
        </w:rPr>
      </w:pPr>
      <w:r>
        <w:rPr>
          <w:rFonts w:hint="eastAsia" w:cs="Times New Roman"/>
          <w:sz w:val="32"/>
          <w:szCs w:val="32"/>
          <w:lang w:val="en-US" w:eastAsia="zh-CN"/>
        </w:rPr>
        <w:t xml:space="preserve">    2024年决算报表收入：</w:t>
      </w:r>
      <w:r>
        <w:rPr>
          <w:rFonts w:hint="eastAsia" w:ascii="仿宋_GB2312" w:hAnsi="仿宋_GB2312" w:eastAsia="仿宋_GB2312" w:cs="仿宋_GB2312"/>
          <w:sz w:val="32"/>
          <w:szCs w:val="32"/>
        </w:rPr>
        <w:t>247725.47</w:t>
      </w:r>
      <w:r>
        <w:rPr>
          <w:rFonts w:hint="eastAsia" w:hAnsi="仿宋_GB2312" w:cs="仿宋_GB2312"/>
          <w:sz w:val="32"/>
          <w:szCs w:val="32"/>
          <w:lang w:val="en-US" w:eastAsia="zh-CN"/>
        </w:rPr>
        <w:t>万元。</w:t>
      </w:r>
    </w:p>
    <w:p>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2024年年初预算支出：293703.50万元；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outlineLvl w:val="9"/>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2024年决算报表支出：245726.11万元。</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eastAsia" w:eastAsia="仿宋_GB2312" w:cs="Times New Roman"/>
          <w:sz w:val="32"/>
          <w:szCs w:val="32"/>
          <w:lang w:val="en-US" w:eastAsia="zh-CN"/>
        </w:rPr>
        <w:t>：基本支出结转1999.36万元。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产出指标</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医疗服务量：门诊人次突破 </w:t>
      </w:r>
      <w:r>
        <w:rPr>
          <w:rFonts w:hint="eastAsia" w:eastAsia="仿宋_GB2312" w:cs="Times New Roman"/>
          <w:sz w:val="32"/>
          <w:szCs w:val="32"/>
          <w:lang w:val="en-US" w:eastAsia="zh-CN"/>
        </w:rPr>
        <w:t>280</w:t>
      </w:r>
      <w:r>
        <w:rPr>
          <w:rFonts w:hint="default" w:ascii="Times New Roman" w:hAnsi="Times New Roman" w:eastAsia="仿宋_GB2312" w:cs="Times New Roman"/>
          <w:sz w:val="32"/>
          <w:szCs w:val="32"/>
          <w:lang w:val="zh-CN" w:eastAsia="zh-CN"/>
        </w:rPr>
        <w:t xml:space="preserve"> 万（同比增长 </w:t>
      </w:r>
      <w:r>
        <w:rPr>
          <w:rFonts w:hint="eastAsia" w:eastAsia="仿宋_GB2312" w:cs="Times New Roman"/>
          <w:sz w:val="32"/>
          <w:szCs w:val="32"/>
          <w:lang w:val="en-US" w:eastAsia="zh-CN"/>
        </w:rPr>
        <w:t>13.64</w:t>
      </w:r>
      <w:r>
        <w:rPr>
          <w:rFonts w:hint="default" w:ascii="Times New Roman" w:hAnsi="Times New Roman" w:eastAsia="仿宋_GB2312" w:cs="Times New Roman"/>
          <w:sz w:val="32"/>
          <w:szCs w:val="32"/>
          <w:lang w:val="zh-CN" w:eastAsia="zh-CN"/>
        </w:rPr>
        <w:t>%），出院人次 11 万（同比</w:t>
      </w:r>
      <w:r>
        <w:rPr>
          <w:rFonts w:hint="eastAsia" w:eastAsia="仿宋_GB2312" w:cs="Times New Roman"/>
          <w:sz w:val="32"/>
          <w:szCs w:val="32"/>
          <w:lang w:val="en-US" w:eastAsia="zh-CN"/>
        </w:rPr>
        <w:t>减少</w:t>
      </w:r>
      <w:r>
        <w:rPr>
          <w:rFonts w:hint="default" w:ascii="Times New Roman" w:hAnsi="Times New Roman" w:eastAsia="仿宋_GB2312" w:cs="Times New Roman"/>
          <w:sz w:val="32"/>
          <w:szCs w:val="32"/>
          <w:lang w:val="zh-CN" w:eastAsia="zh-CN"/>
        </w:rPr>
        <w:t xml:space="preserve"> </w:t>
      </w:r>
      <w:r>
        <w:rPr>
          <w:rFonts w:hint="eastAsia" w:eastAsia="仿宋_GB2312" w:cs="Times New Roman"/>
          <w:sz w:val="32"/>
          <w:szCs w:val="32"/>
          <w:lang w:val="en-US" w:eastAsia="zh-CN"/>
        </w:rPr>
        <w:t>9.17</w:t>
      </w:r>
      <w:r>
        <w:rPr>
          <w:rFonts w:hint="default" w:ascii="Times New Roman"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学科建设：新增四川省骨科区域医疗中心、四川省癌症区域医疗中心，神经中心获批国家神经系统疾病临床研究中心分中心，国家临床重点专科建设取得突破。</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科研教学：获批国家级科研项目 8 项、省级项目 25 项，发表 SCI 论文 180 篇，完成规培学员结业考核通过率 94%，留学生带教满意度 98%。</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效益指标</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经济效益：次均住院费用较 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年</w:t>
      </w:r>
      <w:r>
        <w:rPr>
          <w:rFonts w:hint="eastAsia" w:eastAsia="仿宋_GB2312" w:cs="Times New Roman"/>
          <w:sz w:val="32"/>
          <w:szCs w:val="32"/>
          <w:lang w:val="en-US" w:eastAsia="zh-CN"/>
        </w:rPr>
        <w:t>增长2.39</w:t>
      </w:r>
      <w:r>
        <w:rPr>
          <w:rFonts w:hint="default" w:ascii="Times New Roman" w:hAnsi="Times New Roman" w:eastAsia="仿宋_GB2312" w:cs="Times New Roman"/>
          <w:sz w:val="32"/>
          <w:szCs w:val="32"/>
          <w:lang w:val="zh-CN" w:eastAsia="zh-CN"/>
        </w:rPr>
        <w:t>%，</w:t>
      </w:r>
      <w:r>
        <w:rPr>
          <w:rFonts w:hint="eastAsia" w:eastAsia="仿宋_GB2312" w:cs="Times New Roman"/>
          <w:sz w:val="32"/>
          <w:szCs w:val="32"/>
          <w:lang w:val="en-US" w:eastAsia="zh-CN"/>
        </w:rPr>
        <w:t>医疗服务收入占比增长至30.39%，</w:t>
      </w:r>
      <w:r>
        <w:rPr>
          <w:rFonts w:hint="default" w:ascii="Times New Roman" w:hAnsi="Times New Roman" w:eastAsia="仿宋_GB2312" w:cs="Times New Roman"/>
          <w:sz w:val="32"/>
          <w:szCs w:val="32"/>
          <w:lang w:val="zh-CN" w:eastAsia="zh-CN"/>
        </w:rPr>
        <w:t>药品</w:t>
      </w:r>
      <w:r>
        <w:rPr>
          <w:rFonts w:hint="eastAsia" w:eastAsia="仿宋_GB2312" w:cs="Times New Roman"/>
          <w:sz w:val="32"/>
          <w:szCs w:val="32"/>
          <w:lang w:val="en-US" w:eastAsia="zh-CN"/>
        </w:rPr>
        <w:t>收入</w:t>
      </w:r>
      <w:r>
        <w:rPr>
          <w:rFonts w:hint="default" w:ascii="Times New Roman" w:hAnsi="Times New Roman" w:eastAsia="仿宋_GB2312" w:cs="Times New Roman"/>
          <w:sz w:val="32"/>
          <w:szCs w:val="32"/>
          <w:lang w:val="zh-CN" w:eastAsia="zh-CN"/>
        </w:rPr>
        <w:t>占比降至</w:t>
      </w:r>
      <w:r>
        <w:rPr>
          <w:rFonts w:hint="eastAsia" w:eastAsia="仿宋_GB2312" w:cs="Times New Roman"/>
          <w:sz w:val="32"/>
          <w:szCs w:val="32"/>
          <w:lang w:val="en-US" w:eastAsia="zh-CN"/>
        </w:rPr>
        <w:t>17.72</w:t>
      </w:r>
      <w:r>
        <w:rPr>
          <w:rFonts w:hint="default" w:ascii="Times New Roman" w:hAnsi="Times New Roman" w:eastAsia="仿宋_GB2312" w:cs="Times New Roman"/>
          <w:sz w:val="32"/>
          <w:szCs w:val="32"/>
          <w:lang w:val="zh-CN" w:eastAsia="zh-CN"/>
        </w:rPr>
        <w:t>%，百元医疗收入</w:t>
      </w:r>
      <w:r>
        <w:rPr>
          <w:rFonts w:hint="eastAsia" w:eastAsia="仿宋_GB2312" w:cs="Times New Roman"/>
          <w:sz w:val="32"/>
          <w:szCs w:val="32"/>
          <w:lang w:val="zh-CN" w:eastAsia="zh-CN"/>
        </w:rPr>
        <w:t>（</w:t>
      </w:r>
      <w:r>
        <w:rPr>
          <w:rFonts w:hint="eastAsia" w:eastAsia="仿宋_GB2312" w:cs="Times New Roman"/>
          <w:sz w:val="32"/>
          <w:szCs w:val="32"/>
          <w:lang w:val="en-US" w:eastAsia="zh-CN"/>
        </w:rPr>
        <w:t>不含药品收入</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 xml:space="preserve">消耗卫生材料降至 </w:t>
      </w:r>
      <w:r>
        <w:rPr>
          <w:rFonts w:hint="eastAsia" w:eastAsia="仿宋_GB2312" w:cs="Times New Roman"/>
          <w:sz w:val="32"/>
          <w:szCs w:val="32"/>
          <w:lang w:val="en-US" w:eastAsia="zh-CN"/>
        </w:rPr>
        <w:t>27.30</w:t>
      </w:r>
      <w:r>
        <w:rPr>
          <w:rFonts w:hint="default" w:ascii="Times New Roman" w:hAnsi="Times New Roman" w:eastAsia="仿宋_GB2312" w:cs="Times New Roman"/>
          <w:sz w:val="32"/>
          <w:szCs w:val="32"/>
          <w:lang w:val="zh-CN" w:eastAsia="zh-CN"/>
        </w:rPr>
        <w:t>元，医保基金使用效率显著提升。</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社会效益：通过医联体模式辐射基层医疗机构，远程会诊覆盖县域医院，提升基层转诊率，患者市外转诊率下降。</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可持续影响：第二住院大楼及健康管理中心投入使用，医疗辐射能力扩大至川渝地区，患者满意度达 95.6%。</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满意度指标</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患者满意度 95.6%（第三方调查结果），职工满意度 92%（内部测评结果），社会公众对医院公益服务认可度达 90%。</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w:t>
      </w:r>
      <w:r>
        <w:rPr>
          <w:rFonts w:hint="default" w:ascii="Times New Roman" w:hAnsi="Times New Roman" w:eastAsia="楷体_GB2312" w:cs="Times New Roman"/>
          <w:b/>
          <w:bCs/>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1.主要问题</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预算编制精准度不足：部分项目预算与实际需求存在偏差，如信息化建设项目因技术方案调整导致资金使用进度滞后。</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成本控制压力较大：DRG 付费改革下，复杂病例诊疗成本与医保支付标准存在差异，部分科室成本核算精细化程度有待提升。</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项目绩效管理薄弱：部分专项项目绩效目标设定不够明确，缺乏动态监控机制，导致个别项目实施效果未达预期。</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改进措施</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优化预算编制流程：加强业务科室与财务部门协同，引入大数据分析预测医疗业务量，提高预算编制科学性。</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深化成本精细化管理：完善病种成本核算体系，建立成本 - 效益分析模型，为 DRG 付费提供数据支撑，同时加强高值耗材管控。</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强化绩效全周期管理：细化项目绩效目标，建立 “季度跟踪 - 半年评估 - 年度考核” 机制，将绩效结果与科室考核、预算分配挂钩。</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Times New Roman"/>
          <w:kern w:val="2"/>
          <w:sz w:val="32"/>
          <w:szCs w:val="32"/>
          <w:lang w:val="zh-CN" w:eastAsia="zh-CN" w:bidi="ar-SA"/>
        </w:rPr>
        <w:t>2024 年，遂宁市中心医院预算执行总体规范，绩效目标完成情况良好，医疗服务能力、学科影响力及运营效率显著提升。但在预算精准度、成本控制及绩效管理方面仍需改进。医院将以问题为导向，持续优化管理机制，为区域医疗高质量发展提供坚实保障。</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5"/>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49" w:name="_Toc15396618"/>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FC8EB"/>
    <w:multiLevelType w:val="singleLevel"/>
    <w:tmpl w:val="F6EFC8EB"/>
    <w:lvl w:ilvl="0" w:tentative="0">
      <w:start w:val="1"/>
      <w:numFmt w:val="decimal"/>
      <w:lvlText w:val="%1."/>
      <w:lvlJc w:val="left"/>
      <w:pPr>
        <w:tabs>
          <w:tab w:val="left" w:pos="312"/>
        </w:tabs>
      </w:pPr>
    </w:lvl>
  </w:abstractNum>
  <w:abstractNum w:abstractNumId="1">
    <w:nsid w:val="022384AD"/>
    <w:multiLevelType w:val="singleLevel"/>
    <w:tmpl w:val="022384AD"/>
    <w:lvl w:ilvl="0" w:tentative="0">
      <w:start w:val="1"/>
      <w:numFmt w:val="chineseCounting"/>
      <w:suff w:val="nothing"/>
      <w:lvlText w:val="%1、"/>
      <w:lvlJc w:val="left"/>
      <w:rPr>
        <w:rFonts w:hint="eastAsia"/>
      </w:rPr>
    </w:lvl>
  </w:abstractNum>
  <w:abstractNum w:abstractNumId="2">
    <w:nsid w:val="2D64C548"/>
    <w:multiLevelType w:val="singleLevel"/>
    <w:tmpl w:val="2D64C548"/>
    <w:lvl w:ilvl="0" w:tentative="0">
      <w:start w:val="2"/>
      <w:numFmt w:val="chineseCounting"/>
      <w:suff w:val="nothing"/>
      <w:lvlText w:val="（%1）"/>
      <w:lvlJc w:val="left"/>
      <w:rPr>
        <w:rFonts w:hint="eastAsia"/>
      </w:rPr>
    </w:lvl>
  </w:abstractNum>
  <w:abstractNum w:abstractNumId="3">
    <w:nsid w:val="3FCF034E"/>
    <w:multiLevelType w:val="singleLevel"/>
    <w:tmpl w:val="3FCF034E"/>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MzEyZGNiNzhkYTRmYzIxYTQ5Mzc3ZTVkZDY5Y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4AC7E47"/>
    <w:rsid w:val="061E35DE"/>
    <w:rsid w:val="066E0107"/>
    <w:rsid w:val="07996F6E"/>
    <w:rsid w:val="07DFD8BA"/>
    <w:rsid w:val="08A9464F"/>
    <w:rsid w:val="09867E8F"/>
    <w:rsid w:val="0A2032A3"/>
    <w:rsid w:val="0CA8290A"/>
    <w:rsid w:val="0D35B1ED"/>
    <w:rsid w:val="0F98263C"/>
    <w:rsid w:val="101860EC"/>
    <w:rsid w:val="107B371A"/>
    <w:rsid w:val="10C055FF"/>
    <w:rsid w:val="11772AA4"/>
    <w:rsid w:val="118107EC"/>
    <w:rsid w:val="13D50BC4"/>
    <w:rsid w:val="165E0673"/>
    <w:rsid w:val="16BB723D"/>
    <w:rsid w:val="186504BB"/>
    <w:rsid w:val="19A445FC"/>
    <w:rsid w:val="1BE8440E"/>
    <w:rsid w:val="1BEA2D97"/>
    <w:rsid w:val="1D155CEE"/>
    <w:rsid w:val="1E740ACF"/>
    <w:rsid w:val="1FF35744"/>
    <w:rsid w:val="1FF6BC77"/>
    <w:rsid w:val="23860B96"/>
    <w:rsid w:val="240371BF"/>
    <w:rsid w:val="260F557C"/>
    <w:rsid w:val="281408E2"/>
    <w:rsid w:val="29FD04D3"/>
    <w:rsid w:val="2BFF7BC6"/>
    <w:rsid w:val="2C8A61B5"/>
    <w:rsid w:val="2DF04E50"/>
    <w:rsid w:val="2EAD4823"/>
    <w:rsid w:val="2F040D46"/>
    <w:rsid w:val="2FAE5751"/>
    <w:rsid w:val="2FB1A395"/>
    <w:rsid w:val="2FD9A7D8"/>
    <w:rsid w:val="319F7F4E"/>
    <w:rsid w:val="3304709D"/>
    <w:rsid w:val="349D6851"/>
    <w:rsid w:val="36AA5135"/>
    <w:rsid w:val="36BE0DA7"/>
    <w:rsid w:val="376B6AA6"/>
    <w:rsid w:val="376D39B2"/>
    <w:rsid w:val="37E16F03"/>
    <w:rsid w:val="37F53A3B"/>
    <w:rsid w:val="389B6C89"/>
    <w:rsid w:val="38D469F0"/>
    <w:rsid w:val="39627CCD"/>
    <w:rsid w:val="397BAF1F"/>
    <w:rsid w:val="3AB79AF3"/>
    <w:rsid w:val="3B7EF35A"/>
    <w:rsid w:val="3B9FDB6C"/>
    <w:rsid w:val="3BF5BC2F"/>
    <w:rsid w:val="3CEBA265"/>
    <w:rsid w:val="3D98207C"/>
    <w:rsid w:val="3DEE7CF3"/>
    <w:rsid w:val="3E1C31AD"/>
    <w:rsid w:val="3E78745D"/>
    <w:rsid w:val="3FF4CAE0"/>
    <w:rsid w:val="3FF7B227"/>
    <w:rsid w:val="44E268DA"/>
    <w:rsid w:val="486A6C7A"/>
    <w:rsid w:val="4A627F82"/>
    <w:rsid w:val="4B0E749A"/>
    <w:rsid w:val="4B4F25DA"/>
    <w:rsid w:val="4BE068DB"/>
    <w:rsid w:val="4D577224"/>
    <w:rsid w:val="4DBF1CEB"/>
    <w:rsid w:val="4EAB630A"/>
    <w:rsid w:val="4EAD2C6E"/>
    <w:rsid w:val="4ECE2238"/>
    <w:rsid w:val="4F833267"/>
    <w:rsid w:val="4FE9BD67"/>
    <w:rsid w:val="4FFB052F"/>
    <w:rsid w:val="537E6D0A"/>
    <w:rsid w:val="53F74C96"/>
    <w:rsid w:val="56E47B74"/>
    <w:rsid w:val="57BD3DD4"/>
    <w:rsid w:val="5AF92295"/>
    <w:rsid w:val="5BDD79E6"/>
    <w:rsid w:val="5BF561CA"/>
    <w:rsid w:val="5BFF5DFC"/>
    <w:rsid w:val="5CD71FC4"/>
    <w:rsid w:val="5D1F11B5"/>
    <w:rsid w:val="5DAE1B18"/>
    <w:rsid w:val="5DE7D9E5"/>
    <w:rsid w:val="5ECEC941"/>
    <w:rsid w:val="5FBF9FF3"/>
    <w:rsid w:val="5FCD4E2C"/>
    <w:rsid w:val="5FEF394A"/>
    <w:rsid w:val="5FF67715"/>
    <w:rsid w:val="62BF3928"/>
    <w:rsid w:val="647F5392"/>
    <w:rsid w:val="664B1D71"/>
    <w:rsid w:val="67AA3209"/>
    <w:rsid w:val="698D0931"/>
    <w:rsid w:val="6A54679A"/>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332FE48"/>
    <w:rsid w:val="73AB61DA"/>
    <w:rsid w:val="73AD73D5"/>
    <w:rsid w:val="73B6EB34"/>
    <w:rsid w:val="73FA497D"/>
    <w:rsid w:val="744731E5"/>
    <w:rsid w:val="74BBD01D"/>
    <w:rsid w:val="74ED5379"/>
    <w:rsid w:val="75DEEEC2"/>
    <w:rsid w:val="76E3355F"/>
    <w:rsid w:val="76FF5125"/>
    <w:rsid w:val="776F6FFA"/>
    <w:rsid w:val="778769C8"/>
    <w:rsid w:val="77DC22F5"/>
    <w:rsid w:val="79086DAD"/>
    <w:rsid w:val="796926C2"/>
    <w:rsid w:val="79D7FD79"/>
    <w:rsid w:val="79EE5BA4"/>
    <w:rsid w:val="7A894339"/>
    <w:rsid w:val="7AFF7572"/>
    <w:rsid w:val="7B6C7DFB"/>
    <w:rsid w:val="7BBFBED0"/>
    <w:rsid w:val="7BC3E394"/>
    <w:rsid w:val="7C1F3737"/>
    <w:rsid w:val="7CBFC87B"/>
    <w:rsid w:val="7CFE0F48"/>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6B764FE"/>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195263157894737"/>
          <c:y val="0.00694444444444444"/>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[工作簿1]Sheet1!$A$12:$A$13</c:f>
              <c:strCache>
                <c:ptCount val="2"/>
                <c:pt idx="0">
                  <c:v>2023年</c:v>
                </c:pt>
                <c:pt idx="1">
                  <c:v>2024年</c:v>
                </c:pt>
              </c:strCache>
            </c:strRef>
          </c:cat>
          <c:val>
            <c:numRef>
              <c:f>[工作簿1]Sheet1!$B$12:$B$13</c:f>
              <c:numCache>
                <c:formatCode>General</c:formatCode>
                <c:ptCount val="2"/>
                <c:pt idx="0">
                  <c:v>241235.69</c:v>
                </c:pt>
                <c:pt idx="1">
                  <c:v>247725.47</c:v>
                </c:pt>
              </c:numCache>
            </c:numRef>
          </c:val>
        </c:ser>
        <c:dLbls>
          <c:showLegendKey val="false"/>
          <c:showVal val="false"/>
          <c:showCatName val="false"/>
          <c:showSerName val="false"/>
          <c:showPercent val="false"/>
          <c:showBubbleSize val="false"/>
        </c:dLbls>
        <c:gapWidth val="246"/>
        <c:overlap val="-28"/>
        <c:axId val="863674907"/>
        <c:axId val="713986346"/>
      </c:barChart>
      <c:catAx>
        <c:axId val="86367490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3986346"/>
        <c:crosses val="autoZero"/>
        <c:auto val="true"/>
        <c:lblAlgn val="ctr"/>
        <c:lblOffset val="100"/>
        <c:noMultiLvlLbl val="false"/>
      </c:catAx>
      <c:valAx>
        <c:axId val="713986346"/>
        <c:scaling>
          <c:orientation val="minMax"/>
          <c:max val="300000"/>
          <c:min val="200000"/>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6367490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[工作簿1]Sheet1!$A$38:$A$40</c:f>
              <c:strCache>
                <c:ptCount val="3"/>
                <c:pt idx="0">
                  <c:v>一般公共预算财政拨款收入</c:v>
                </c:pt>
                <c:pt idx="1">
                  <c:v>事业收入</c:v>
                </c:pt>
                <c:pt idx="2">
                  <c:v>其他收入</c:v>
                </c:pt>
              </c:strCache>
            </c:strRef>
          </c:cat>
          <c:val>
            <c:numRef>
              <c:f>[工作簿1]Sheet1!$B$38:$B$40</c:f>
              <c:numCache>
                <c:formatCode>General</c:formatCode>
                <c:ptCount val="3"/>
                <c:pt idx="0">
                  <c:v>5668.81</c:v>
                </c:pt>
                <c:pt idx="1">
                  <c:v>227886.35</c:v>
                </c:pt>
                <c:pt idx="2">
                  <c:v>14170.31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[工作簿1]Sheet1!$A$59:$A$60</c:f>
              <c:strCache>
                <c:ptCount val="2"/>
                <c:pt idx="0">
                  <c:v>基本支出</c:v>
                </c:pt>
                <c:pt idx="1">
                  <c:v>项目支出</c:v>
                </c:pt>
              </c:strCache>
            </c:strRef>
          </c:cat>
          <c:val>
            <c:numRef>
              <c:f>[工作簿1]Sheet1!$B$59:$B$60</c:f>
              <c:numCache>
                <c:formatCode>General</c:formatCode>
                <c:ptCount val="2"/>
                <c:pt idx="0">
                  <c:v>240627.55</c:v>
                </c:pt>
                <c:pt idx="1">
                  <c:v>5098.56</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false"/>
      <c:spPr>
        <a:noFill/>
        <a:ln>
          <a:noFill/>
        </a:ln>
        <a:effectLst/>
      </c:spPr>
    </c:title>
    <c:autoTitleDeleted val="false"/>
    <c:plotArea>
      <c:layout/>
      <c:barChart>
        <c:barDir val="col"/>
        <c:grouping val="clustered"/>
        <c:varyColors val="false"/>
        <c:ser>
          <c:idx val="0"/>
          <c:order val="0"/>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invertIfNegative val="false"/>
          <c:dLbls>
            <c:delete val="true"/>
          </c:dLbls>
          <c:cat>
            <c:strRef>
              <c:f>[工作簿1]Sheet1!$A$72:$A$73</c:f>
              <c:strCache>
                <c:ptCount val="2"/>
                <c:pt idx="0">
                  <c:v>2023年</c:v>
                </c:pt>
                <c:pt idx="1">
                  <c:v>2024年</c:v>
                </c:pt>
              </c:strCache>
            </c:strRef>
          </c:cat>
          <c:val>
            <c:numRef>
              <c:f>[工作簿1]Sheet1!$B$72:$B$73</c:f>
              <c:numCache>
                <c:formatCode>General</c:formatCode>
                <c:ptCount val="2"/>
                <c:pt idx="0">
                  <c:v>8822.16</c:v>
                </c:pt>
                <c:pt idx="1">
                  <c:v>5668.81</c:v>
                </c:pt>
              </c:numCache>
            </c:numRef>
          </c:val>
        </c:ser>
        <c:dLbls>
          <c:showLegendKey val="false"/>
          <c:showVal val="false"/>
          <c:showCatName val="false"/>
          <c:showSerName val="false"/>
          <c:showPercent val="false"/>
          <c:showBubbleSize val="false"/>
        </c:dLbls>
        <c:gapWidth val="246"/>
        <c:overlap val="-28"/>
        <c:axId val="616919049"/>
        <c:axId val="94249947"/>
      </c:barChart>
      <c:catAx>
        <c:axId val="61691904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4249947"/>
        <c:crosses val="autoZero"/>
        <c:auto val="true"/>
        <c:lblAlgn val="ctr"/>
        <c:lblOffset val="100"/>
        <c:noMultiLvlLbl val="false"/>
      </c:catAx>
      <c:valAx>
        <c:axId val="94249947"/>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1691904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[工作簿1]Sheet1!$A$93:$A$94</c:f>
              <c:strCache>
                <c:ptCount val="2"/>
                <c:pt idx="0">
                  <c:v>2023年</c:v>
                </c:pt>
                <c:pt idx="1">
                  <c:v>2024年</c:v>
                </c:pt>
              </c:strCache>
            </c:strRef>
          </c:cat>
          <c:val>
            <c:numRef>
              <c:f>[工作簿1]Sheet1!$B$93:$B$94</c:f>
              <c:numCache>
                <c:formatCode>General</c:formatCode>
                <c:ptCount val="2"/>
                <c:pt idx="0">
                  <c:v>6822.16</c:v>
                </c:pt>
                <c:pt idx="1">
                  <c:v>5668.81</c:v>
                </c:pt>
              </c:numCache>
            </c:numRef>
          </c:val>
        </c:ser>
        <c:dLbls>
          <c:showLegendKey val="false"/>
          <c:showVal val="false"/>
          <c:showCatName val="false"/>
          <c:showSerName val="false"/>
          <c:showPercent val="false"/>
          <c:showBubbleSize val="false"/>
        </c:dLbls>
        <c:gapWidth val="246"/>
        <c:overlap val="-28"/>
        <c:axId val="410611687"/>
        <c:axId val="693349148"/>
      </c:barChart>
      <c:catAx>
        <c:axId val="41061168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3349148"/>
        <c:crosses val="autoZero"/>
        <c:auto val="true"/>
        <c:lblAlgn val="ctr"/>
        <c:lblOffset val="100"/>
        <c:noMultiLvlLbl val="false"/>
      </c:catAx>
      <c:valAx>
        <c:axId val="693349148"/>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1061168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dPt>
          <c:dPt>
            <c:idx val="1"/>
            <c:bubble3D val="false"/>
            <c:spPr>
              <a:gradFill>
                <a:gsLst>
                  <a:gs pos="0">
                    <a:schemeClr val="accent2">
                      <a:lumMod val="40000"/>
                      <a:lumOff val="60000"/>
                    </a:schemeClr>
                  </a:gs>
                  <a:gs pos="90000">
                    <a:schemeClr val="accent2"/>
                  </a:gs>
                </a:gsLst>
                <a:lin ang="5400000" scaled="false"/>
              </a:gradFill>
              <a:ln>
                <a:gradFill>
                  <a:gsLst>
                    <a:gs pos="0">
                      <a:schemeClr val="accent2"/>
                    </a:gs>
                    <a:gs pos="100000">
                      <a:schemeClr val="accent2">
                        <a:lumMod val="75000"/>
                      </a:schemeClr>
                    </a:gs>
                  </a:gsLst>
                  <a:lin ang="5400000" scaled="true"/>
                </a:gradFill>
              </a:ln>
              <a:effectLst>
                <a:outerShdw blurRad="76200" dist="25400" dir="2700000" algn="tl" rotWithShape="0">
                  <a:schemeClr val="accent2">
                    <a:lumMod val="50000"/>
                    <a:alpha val="30000"/>
                  </a:schemeClr>
                </a:outerShdw>
              </a:effectLst>
            </c:spPr>
          </c:dPt>
          <c:dPt>
            <c:idx val="2"/>
            <c:bubble3D val="false"/>
            <c:spPr>
              <a:gradFill>
                <a:gsLst>
                  <a:gs pos="0">
                    <a:schemeClr val="accent3">
                      <a:lumMod val="40000"/>
                      <a:lumOff val="60000"/>
                    </a:schemeClr>
                  </a:gs>
                  <a:gs pos="90000">
                    <a:schemeClr val="accent3"/>
                  </a:gs>
                </a:gsLst>
                <a:lin ang="5400000" scaled="false"/>
              </a:gradFill>
              <a:ln>
                <a:gradFill>
                  <a:gsLst>
                    <a:gs pos="0">
                      <a:schemeClr val="accent3"/>
                    </a:gs>
                    <a:gs pos="100000">
                      <a:schemeClr val="accent3">
                        <a:lumMod val="75000"/>
                      </a:schemeClr>
                    </a:gs>
                  </a:gsLst>
                  <a:lin ang="5400000" scaled="true"/>
                </a:gradFill>
              </a:ln>
              <a:effectLst>
                <a:outerShdw blurRad="76200" dist="25400" dir="2700000" algn="tl" rotWithShape="0">
                  <a:schemeClr val="accent3">
                    <a:lumMod val="50000"/>
                    <a:alpha val="30000"/>
                  </a:schemeClr>
                </a:outerShdw>
              </a:effectLst>
            </c:spPr>
          </c:dPt>
          <c:dLbls>
            <c:dLbl>
              <c:idx val="0"/>
              <c:layout>
                <c:manualLayout>
                  <c:x val="-0.104605263157895"/>
                  <c:y val="-0.00694444444444444"/>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1"/>
              <c:layout>
                <c:manualLayout>
                  <c:x val="0.181578947368421"/>
                  <c:y val="0.00347222222222222"/>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[工作簿1]Sheet1!$A$124:$A$126</c:f>
              <c:strCache>
                <c:ptCount val="3"/>
                <c:pt idx="0">
                  <c:v>科学技术</c:v>
                </c:pt>
                <c:pt idx="1">
                  <c:v>社会保障和就业</c:v>
                </c:pt>
                <c:pt idx="2">
                  <c:v>卫生健康</c:v>
                </c:pt>
              </c:strCache>
            </c:strRef>
          </c:cat>
          <c:val>
            <c:numRef>
              <c:f>[工作簿1]Sheet1!$B$124:$B$126</c:f>
              <c:numCache>
                <c:formatCode>General</c:formatCode>
                <c:ptCount val="3"/>
                <c:pt idx="0">
                  <c:v>22.73</c:v>
                </c:pt>
                <c:pt idx="1">
                  <c:v>32.82</c:v>
                </c:pt>
                <c:pt idx="2">
                  <c:v>5613.26</c:v>
                </c:pt>
              </c:numCache>
            </c:numRef>
          </c:val>
        </c:ser>
        <c:dLbls>
          <c:showLegendKey val="false"/>
          <c:showVal val="false"/>
          <c:showCatName val="tru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1601</Words>
  <Characters>2329</Characters>
  <Lines>61</Lines>
  <Paragraphs>17</Paragraphs>
  <TotalTime>12</TotalTime>
  <ScaleCrop>false</ScaleCrop>
  <LinksUpToDate>false</LinksUpToDate>
  <CharactersWithSpaces>2373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2020-08-09T01:49:00Z</dcterms:created>
  <dc:creator>曹颖</dc:creator>
  <cp:lastModifiedBy>＾笑颜＾</cp:lastModifiedBy>
  <cp:lastPrinted>2025-07-29T22:54:00Z</cp:lastPrinted>
  <dcterms:modified xsi:type="dcterms:W3CDTF">2025-09-03T11:30:51Z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468E027126C84757868639521EE1FEC7_13</vt:lpwstr>
  </property>
  <property fmtid="{D5CDD505-2E9C-101B-9397-08002B2CF9AE}" pid="4" name="KSOTemplateDocerSaveRecord">
    <vt:lpwstr>eyJoZGlkIjoiYzVhMGIzNTY1YTFhMGY3NDdmOTYzOWQ3NjhhYTg5NDUiLCJ1c2VySWQiOiIxMjAxMDQxMTY4In0=</vt:lpwstr>
  </property>
</Properties>
</file>